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rPr>
          <w:rFonts w:ascii="方正小标宋简体" w:hAnsi="Calibri" w:eastAsia="方正小标宋简体"/>
          <w:sz w:val="44"/>
          <w:szCs w:val="36"/>
        </w:rPr>
      </w:pPr>
      <w:bookmarkStart w:id="0" w:name="_Hlk97808734"/>
      <w:r>
        <w:rPr>
          <w:rFonts w:hint="eastAsia" w:ascii="方正小标宋简体" w:hAnsi="Calibri" w:eastAsia="方正小标宋简体"/>
          <w:sz w:val="44"/>
          <w:szCs w:val="36"/>
        </w:rPr>
        <w:t>辽宁交投艾特斯技术股份有限公司</w:t>
      </w:r>
    </w:p>
    <w:p>
      <w:pPr>
        <w:spacing w:line="60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Calibri" w:eastAsia="方正小标宋简体"/>
          <w:sz w:val="44"/>
          <w:szCs w:val="36"/>
        </w:rPr>
        <w:t>子企业市场化选聘职业经理人</w:t>
      </w:r>
      <w:r>
        <w:rPr>
          <w:rFonts w:hint="eastAsia" w:ascii="方正小标宋简体" w:hAnsi="方正小标宋简体" w:eastAsia="方正小标宋简体" w:cs="方正小标宋简体"/>
          <w:sz w:val="44"/>
          <w:szCs w:val="44"/>
        </w:rPr>
        <w:t>招聘公告</w:t>
      </w:r>
    </w:p>
    <w:p>
      <w:pPr>
        <w:spacing w:after="120"/>
        <w:ind w:firstLine="0" w:firstLineChars="0"/>
        <w:rPr>
          <w:rFonts w:ascii="Calibri" w:hAnsi="Calibri" w:eastAsia="宋体"/>
          <w:sz w:val="21"/>
        </w:rPr>
      </w:pPr>
    </w:p>
    <w:p>
      <w:pPr>
        <w:widowControl/>
        <w:overflowPunct w:val="0"/>
        <w:adjustRightInd w:val="0"/>
        <w:snapToGrid w:val="0"/>
        <w:spacing w:line="360" w:lineRule="auto"/>
        <w:ind w:firstLine="63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辽宁交投艾特斯技术股份有限公司</w:t>
      </w:r>
      <w:r>
        <w:rPr>
          <w:rFonts w:hint="eastAsia"/>
        </w:rPr>
        <w:t>（以下简称“艾特斯公司”）</w:t>
      </w:r>
      <w:r>
        <w:rPr>
          <w:rFonts w:hint="eastAsia"/>
          <w:color w:val="000000" w:themeColor="text1"/>
          <w:szCs w:val="32"/>
          <w14:textFill>
            <w14:solidFill>
              <w14:schemeClr w14:val="tx1"/>
            </w14:solidFill>
          </w14:textFill>
        </w:rPr>
        <w:t>，隶属于辽宁省交通建设投资集团有限责任公司。主要业务包括：公路交通机电系统设计、工程施工、工程监理、试验检测、智能交通系统核心软、硬件产品研发、运维、通信管道维护等业务，是交通机电工程全产业链解决和服务等业务的高新技术企业。</w:t>
      </w:r>
    </w:p>
    <w:p>
      <w:pPr>
        <w:widowControl/>
        <w:overflowPunct w:val="0"/>
        <w:adjustRightInd w:val="0"/>
        <w:snapToGrid w:val="0"/>
        <w:spacing w:line="360" w:lineRule="auto"/>
        <w:ind w:firstLine="632"/>
        <w:rPr>
          <w:rFonts w:ascii="仿宋_GB2312" w:hAnsi="仿宋"/>
          <w:szCs w:val="32"/>
        </w:rPr>
      </w:pPr>
      <w:r>
        <w:rPr>
          <w:color w:val="000000" w:themeColor="text1"/>
          <w:szCs w:val="32"/>
          <w14:textFill>
            <w14:solidFill>
              <w14:schemeClr w14:val="tx1"/>
            </w14:solidFill>
          </w14:textFill>
        </w:rPr>
        <w:t>辽宁交通信息技术有限公司（以下简称</w:t>
      </w:r>
      <w:r>
        <w:rPr>
          <w:rFonts w:hint="eastAsia" w:ascii="仿宋_GB2312" w:hAnsi="仿宋_GB2312" w:cs="仿宋_GB2312"/>
          <w:color w:val="000000" w:themeColor="text1"/>
          <w:szCs w:val="32"/>
          <w14:textFill>
            <w14:solidFill>
              <w14:schemeClr w14:val="tx1"/>
            </w14:solidFill>
          </w14:textFill>
        </w:rPr>
        <w:t>“信息公司”或</w:t>
      </w:r>
      <w:r>
        <w:rPr>
          <w:rFonts w:hint="eastAsia"/>
          <w:color w:val="000000" w:themeColor="text1"/>
          <w:szCs w:val="32"/>
          <w14:textFill>
            <w14:solidFill>
              <w14:schemeClr w14:val="tx1"/>
            </w14:solidFill>
          </w14:textFill>
        </w:rPr>
        <w:t>“子企业”</w:t>
      </w:r>
      <w:r>
        <w:rPr>
          <w:color w:val="000000" w:themeColor="text1"/>
          <w:szCs w:val="32"/>
          <w14:textFill>
            <w14:solidFill>
              <w14:schemeClr w14:val="tx1"/>
            </w14:solidFill>
          </w14:textFill>
        </w:rPr>
        <w:t>）推行职业经理人制度。信息公司成立于2005年，注册资金270万元，</w:t>
      </w:r>
      <w:bookmarkStart w:id="1" w:name="_Hlk150163751"/>
      <w:r>
        <w:rPr>
          <w:color w:val="000000" w:themeColor="text1"/>
          <w:szCs w:val="32"/>
          <w14:textFill>
            <w14:solidFill>
              <w14:schemeClr w14:val="tx1"/>
            </w14:solidFill>
          </w14:textFill>
        </w:rPr>
        <w:t>是艾特斯公司全资子公司</w:t>
      </w:r>
      <w:bookmarkEnd w:id="1"/>
      <w:r>
        <w:rPr>
          <w:color w:val="000000" w:themeColor="text1"/>
          <w:szCs w:val="32"/>
          <w14:textFill>
            <w14:solidFill>
              <w14:schemeClr w14:val="tx1"/>
            </w14:solidFill>
          </w14:textFill>
        </w:rPr>
        <w:t>。是以网络安全和信创作为核心业务的高新技术企业。主营业务包括网络安全：网络安全产品研发、行业解决方案、安全服务与运营、安全集成与实施；信创：信创规划咨询、信创项目集成交付、信创升级及运维服务、信创人才培训认证。</w:t>
      </w:r>
      <w:r>
        <w:rPr>
          <w:rFonts w:hint="eastAsia"/>
          <w:color w:val="000000" w:themeColor="text1"/>
          <w:szCs w:val="32"/>
          <w:lang w:val="en-US" w:eastAsia="zh-CN"/>
          <w14:textFill>
            <w14:solidFill>
              <w14:schemeClr w14:val="tx1"/>
            </w14:solidFill>
          </w14:textFill>
        </w:rPr>
        <w:t>信息</w:t>
      </w:r>
      <w:r>
        <w:rPr>
          <w:color w:val="000000" w:themeColor="text1"/>
          <w:szCs w:val="32"/>
          <w14:textFill>
            <w14:solidFill>
              <w14:schemeClr w14:val="tx1"/>
            </w14:solidFill>
          </w14:textFill>
        </w:rPr>
        <w:t>公司致力于在</w:t>
      </w:r>
      <w:r>
        <w:rPr>
          <w:rFonts w:hint="eastAsia" w:ascii="仿宋_GB2312" w:hAnsi="仿宋_GB2312" w:cs="仿宋_GB2312"/>
          <w:color w:val="000000" w:themeColor="text1"/>
          <w:szCs w:val="32"/>
          <w14:textFill>
            <w14:solidFill>
              <w14:schemeClr w14:val="tx1"/>
            </w14:solidFill>
          </w14:textFill>
        </w:rPr>
        <w:t>“</w:t>
      </w:r>
      <w:r>
        <w:rPr>
          <w:color w:val="000000" w:themeColor="text1"/>
          <w:szCs w:val="32"/>
          <w14:textFill>
            <w14:solidFill>
              <w14:schemeClr w14:val="tx1"/>
            </w14:solidFill>
          </w14:textFill>
        </w:rPr>
        <w:t>十四五</w:t>
      </w:r>
      <w:r>
        <w:rPr>
          <w:rFonts w:hint="eastAsia" w:ascii="仿宋_GB2312" w:hAnsi="仿宋_GB2312" w:cs="仿宋_GB2312"/>
          <w:color w:val="000000" w:themeColor="text1"/>
          <w:szCs w:val="32"/>
          <w14:textFill>
            <w14:solidFill>
              <w14:schemeClr w14:val="tx1"/>
            </w14:solidFill>
          </w14:textFill>
        </w:rPr>
        <w:t>”</w:t>
      </w:r>
      <w:r>
        <w:rPr>
          <w:color w:val="000000" w:themeColor="text1"/>
          <w:szCs w:val="32"/>
          <w14:textFill>
            <w14:solidFill>
              <w14:schemeClr w14:val="tx1"/>
            </w14:solidFill>
          </w14:textFill>
        </w:rPr>
        <w:t>期内成为具有省内网络安全影响力和创新能力的数字安全企业。</w:t>
      </w:r>
    </w:p>
    <w:p>
      <w:pPr>
        <w:widowControl/>
        <w:overflowPunct w:val="0"/>
        <w:adjustRightInd w:val="0"/>
        <w:snapToGrid w:val="0"/>
        <w:spacing w:line="360" w:lineRule="auto"/>
        <w:ind w:firstLine="632"/>
        <w:rPr>
          <w:color w:val="000000" w:themeColor="text1"/>
          <w:szCs w:val="32"/>
          <w14:textFill>
            <w14:solidFill>
              <w14:schemeClr w14:val="tx1"/>
            </w14:solidFill>
          </w14:textFill>
        </w:rPr>
      </w:pPr>
      <w:r>
        <w:rPr>
          <w:color w:val="000000" w:themeColor="text1"/>
          <w:szCs w:val="32"/>
          <w14:textFill>
            <w14:solidFill>
              <w14:schemeClr w14:val="tx1"/>
            </w14:solidFill>
          </w14:textFill>
        </w:rPr>
        <w:t>河北雄安马骥科技有限公司（以下简称</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雄安公司</w:t>
      </w:r>
      <w:r>
        <w:rPr>
          <w:rFonts w:hint="eastAsia"/>
          <w:color w:val="000000" w:themeColor="text1"/>
          <w:szCs w:val="32"/>
          <w14:textFill>
            <w14:solidFill>
              <w14:schemeClr w14:val="tx1"/>
            </w14:solidFill>
          </w14:textFill>
        </w:rPr>
        <w:t>”或“子企业”</w:t>
      </w:r>
      <w:r>
        <w:rPr>
          <w:color w:val="000000" w:themeColor="text1"/>
          <w:szCs w:val="32"/>
          <w14:textFill>
            <w14:solidFill>
              <w14:schemeClr w14:val="tx1"/>
            </w14:solidFill>
          </w14:textFill>
        </w:rPr>
        <w:t>）推行职业经理人制度。雄安公司成立于2018年11月27日，注册资本300万元，是艾特斯公司全资子公司，是艾特斯公司在党中央建设雄安新区的重大战略引领下，提前布局的智慧办公、智慧城市、智慧交通相关的信息技术服务企业。</w:t>
      </w:r>
      <w:r>
        <w:rPr>
          <w:rFonts w:hint="eastAsia"/>
          <w:color w:val="000000" w:themeColor="text1"/>
          <w:szCs w:val="32"/>
          <w14:textFill>
            <w14:solidFill>
              <w14:schemeClr w14:val="tx1"/>
            </w14:solidFill>
          </w14:textFill>
        </w:rPr>
        <w:t>主营业务有</w:t>
      </w:r>
      <w:r>
        <w:rPr>
          <w:color w:val="000000" w:themeColor="text1"/>
          <w:szCs w:val="32"/>
          <w14:textFill>
            <w14:solidFill>
              <w14:schemeClr w14:val="tx1"/>
            </w14:solidFill>
          </w14:textFill>
        </w:rPr>
        <w:t>智慧城市、智慧一体化办公；技术服务、技术开发、技术咨询等。</w:t>
      </w:r>
    </w:p>
    <w:p>
      <w:pPr>
        <w:widowControl/>
        <w:overflowPunct w:val="0"/>
        <w:adjustRightInd w:val="0"/>
        <w:snapToGrid w:val="0"/>
        <w:spacing w:line="360" w:lineRule="auto"/>
        <w:ind w:firstLine="63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为进一步增强子企业经营活力，深化市场化选人用人机制改革，健全市场化经营机制，辽宁交投艾特斯技术股份有限公司拟对信息公司及</w:t>
      </w:r>
      <w:r>
        <w:rPr>
          <w:color w:val="000000" w:themeColor="text1"/>
          <w:szCs w:val="32"/>
          <w14:textFill>
            <w14:solidFill>
              <w14:schemeClr w14:val="tx1"/>
            </w14:solidFill>
          </w14:textFill>
        </w:rPr>
        <w:t>雄安公司</w:t>
      </w:r>
      <w:r>
        <w:rPr>
          <w:rFonts w:hint="eastAsia"/>
          <w:color w:val="000000" w:themeColor="text1"/>
          <w:szCs w:val="32"/>
          <w14:textFill>
            <w14:solidFill>
              <w14:schemeClr w14:val="tx1"/>
            </w14:solidFill>
          </w14:textFill>
        </w:rPr>
        <w:t>面向全国公开招聘八名职业经理人，现公告如下：</w:t>
      </w:r>
    </w:p>
    <w:p>
      <w:pPr>
        <w:numPr>
          <w:ilvl w:val="0"/>
          <w:numId w:val="2"/>
        </w:numPr>
        <w:ind w:firstLine="632" w:firstLineChars="0"/>
        <w:rPr>
          <w:rFonts w:hAnsi="黑体" w:eastAsia="黑体"/>
          <w:szCs w:val="32"/>
        </w:rPr>
      </w:pPr>
      <w:r>
        <w:rPr>
          <w:rFonts w:hint="eastAsia" w:hAnsi="黑体" w:eastAsia="黑体"/>
          <w:szCs w:val="32"/>
        </w:rPr>
        <w:t>招聘岗位及人数</w:t>
      </w:r>
    </w:p>
    <w:tbl>
      <w:tblPr>
        <w:tblStyle w:val="22"/>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162"/>
        <w:gridCol w:w="2848"/>
        <w:gridCol w:w="4629"/>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blHeader/>
          <w:jc w:val="center"/>
        </w:trPr>
        <w:tc>
          <w:tcPr>
            <w:tcW w:w="620" w:type="pct"/>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子企业</w:t>
            </w:r>
          </w:p>
        </w:tc>
        <w:tc>
          <w:tcPr>
            <w:tcW w:w="1520" w:type="pct"/>
            <w:shd w:val="clear" w:color="auto" w:fill="BDD6EE"/>
            <w:vAlign w:val="center"/>
          </w:tcPr>
          <w:p>
            <w:pPr>
              <w:overflowPunct w:val="0"/>
              <w:snapToGrid w:val="0"/>
              <w:ind w:firstLine="0" w:firstLineChars="0"/>
              <w:jc w:val="center"/>
              <w:rPr>
                <w:b/>
                <w:bCs/>
                <w:color w:val="000000"/>
                <w:kern w:val="0"/>
                <w:sz w:val="24"/>
              </w:rPr>
            </w:pPr>
            <w:r>
              <w:rPr>
                <w:rFonts w:hint="eastAsia"/>
                <w:b/>
                <w:bCs/>
                <w:color w:val="000000"/>
                <w:kern w:val="0"/>
                <w:sz w:val="24"/>
              </w:rPr>
              <w:t>岗位</w:t>
            </w:r>
          </w:p>
        </w:tc>
        <w:tc>
          <w:tcPr>
            <w:tcW w:w="2470" w:type="pct"/>
            <w:shd w:val="clear" w:color="auto" w:fill="BDD6EE"/>
            <w:vAlign w:val="center"/>
          </w:tcPr>
          <w:p>
            <w:pPr>
              <w:overflowPunct w:val="0"/>
              <w:snapToGrid w:val="0"/>
              <w:ind w:firstLine="0" w:firstLineChars="0"/>
              <w:jc w:val="center"/>
              <w:rPr>
                <w:b/>
                <w:bCs/>
                <w:color w:val="000000"/>
                <w:kern w:val="0"/>
                <w:sz w:val="24"/>
              </w:rPr>
            </w:pPr>
            <w:r>
              <w:rPr>
                <w:rFonts w:hint="eastAsia"/>
                <w:b/>
                <w:bCs/>
                <w:color w:val="000000"/>
                <w:kern w:val="0"/>
                <w:sz w:val="24"/>
              </w:rPr>
              <w:t>岗位职责</w:t>
            </w:r>
          </w:p>
        </w:tc>
        <w:tc>
          <w:tcPr>
            <w:tcW w:w="388" w:type="pct"/>
            <w:shd w:val="clear" w:color="auto" w:fill="BDD6EE"/>
            <w:vAlign w:val="center"/>
          </w:tcPr>
          <w:p>
            <w:pPr>
              <w:overflowPunct w:val="0"/>
              <w:snapToGrid w:val="0"/>
              <w:ind w:firstLine="0" w:firstLineChars="0"/>
              <w:jc w:val="center"/>
              <w:rPr>
                <w:b/>
                <w:bCs/>
                <w:color w:val="000000"/>
                <w:kern w:val="0"/>
                <w:sz w:val="24"/>
              </w:rPr>
            </w:pPr>
            <w:r>
              <w:rPr>
                <w:rFonts w:hint="eastAsia"/>
                <w:b/>
                <w:bCs/>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2" w:hRule="atLeast"/>
          <w:jc w:val="center"/>
        </w:trPr>
        <w:tc>
          <w:tcPr>
            <w:tcW w:w="620" w:type="pct"/>
            <w:vMerge w:val="restart"/>
            <w:vAlign w:val="center"/>
          </w:tcPr>
          <w:p>
            <w:pPr>
              <w:overflowPunct w:val="0"/>
              <w:snapToGrid w:val="0"/>
              <w:ind w:firstLine="0" w:firstLineChars="0"/>
              <w:jc w:val="center"/>
              <w:rPr>
                <w:color w:val="000000"/>
                <w:kern w:val="0"/>
                <w:sz w:val="24"/>
              </w:rPr>
            </w:pPr>
            <w:r>
              <w:rPr>
                <w:color w:val="000000"/>
                <w:kern w:val="0"/>
                <w:sz w:val="24"/>
              </w:rPr>
              <w:t>雄安公司</w:t>
            </w:r>
          </w:p>
          <w:p>
            <w:pPr>
              <w:spacing w:after="120"/>
              <w:ind w:firstLine="0" w:firstLineChars="0"/>
              <w:rPr>
                <w:rFonts w:ascii="Calibri" w:hAnsi="Calibri" w:eastAsia="宋体"/>
                <w:sz w:val="21"/>
              </w:rPr>
            </w:pPr>
            <w:r>
              <w:rPr>
                <w:rFonts w:hint="eastAsia" w:ascii="Calibri" w:hAnsi="Calibri" w:eastAsia="宋体"/>
                <w:sz w:val="21"/>
              </w:rPr>
              <w:t>（工作地点：河北雄安）</w:t>
            </w:r>
          </w:p>
        </w:tc>
        <w:tc>
          <w:tcPr>
            <w:tcW w:w="1520" w:type="pct"/>
            <w:shd w:val="clear" w:color="auto" w:fill="auto"/>
            <w:vAlign w:val="center"/>
          </w:tcPr>
          <w:p>
            <w:pPr>
              <w:overflowPunct w:val="0"/>
              <w:snapToGrid w:val="0"/>
              <w:ind w:firstLine="0" w:firstLineChars="0"/>
              <w:jc w:val="center"/>
              <w:rPr>
                <w:color w:val="000000"/>
                <w:kern w:val="0"/>
                <w:sz w:val="24"/>
              </w:rPr>
            </w:pPr>
            <w:r>
              <w:rPr>
                <w:color w:val="000000"/>
                <w:kern w:val="0"/>
                <w:sz w:val="24"/>
              </w:rPr>
              <w:t>总经理</w:t>
            </w:r>
          </w:p>
        </w:tc>
        <w:tc>
          <w:tcPr>
            <w:tcW w:w="2470" w:type="pct"/>
            <w:tcMar>
              <w:top w:w="0" w:type="dxa"/>
              <w:left w:w="57" w:type="dxa"/>
              <w:bottom w:w="0" w:type="dxa"/>
              <w:right w:w="57" w:type="dxa"/>
            </w:tcMar>
            <w:vAlign w:val="center"/>
          </w:tcPr>
          <w:p>
            <w:pPr>
              <w:overflowPunct w:val="0"/>
              <w:snapToGrid w:val="0"/>
              <w:ind w:firstLine="0" w:firstLineChars="0"/>
              <w:jc w:val="center"/>
              <w:rPr>
                <w:color w:val="000000"/>
                <w:kern w:val="0"/>
                <w:sz w:val="24"/>
              </w:rPr>
            </w:pPr>
            <w:r>
              <w:rPr>
                <w:color w:val="000000"/>
                <w:kern w:val="0"/>
                <w:sz w:val="24"/>
              </w:rPr>
              <w:t>全面管理</w:t>
            </w:r>
          </w:p>
        </w:tc>
        <w:tc>
          <w:tcPr>
            <w:tcW w:w="388" w:type="pct"/>
            <w:vAlign w:val="center"/>
          </w:tcPr>
          <w:p>
            <w:pPr>
              <w:overflowPunct w:val="0"/>
              <w:snapToGrid w:val="0"/>
              <w:ind w:firstLine="0" w:firstLineChars="0"/>
              <w:jc w:val="center"/>
              <w:rPr>
                <w:color w:val="000000"/>
                <w:kern w:val="0"/>
                <w:sz w:val="24"/>
              </w:rPr>
            </w:pPr>
            <w:r>
              <w:rPr>
                <w:rFonts w:hint="eastAsia"/>
                <w:color w:val="000000"/>
                <w:kern w:val="0"/>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2" w:hRule="atLeast"/>
          <w:jc w:val="center"/>
        </w:trPr>
        <w:tc>
          <w:tcPr>
            <w:tcW w:w="620" w:type="pct"/>
            <w:vMerge w:val="continue"/>
            <w:vAlign w:val="center"/>
          </w:tcPr>
          <w:p>
            <w:pPr>
              <w:overflowPunct w:val="0"/>
              <w:snapToGrid w:val="0"/>
              <w:ind w:firstLine="0" w:firstLineChars="0"/>
              <w:jc w:val="center"/>
              <w:rPr>
                <w:color w:val="000000"/>
                <w:kern w:val="0"/>
                <w:sz w:val="24"/>
              </w:rPr>
            </w:pPr>
          </w:p>
        </w:tc>
        <w:tc>
          <w:tcPr>
            <w:tcW w:w="1520" w:type="pct"/>
            <w:shd w:val="clear" w:color="auto" w:fill="auto"/>
            <w:vAlign w:val="center"/>
          </w:tcPr>
          <w:p>
            <w:pPr>
              <w:overflowPunct w:val="0"/>
              <w:snapToGrid w:val="0"/>
              <w:ind w:firstLine="0" w:firstLineChars="0"/>
              <w:jc w:val="center"/>
              <w:rPr>
                <w:color w:val="000000"/>
                <w:kern w:val="0"/>
                <w:sz w:val="24"/>
              </w:rPr>
            </w:pPr>
            <w:r>
              <w:rPr>
                <w:color w:val="000000"/>
                <w:kern w:val="0"/>
                <w:sz w:val="24"/>
              </w:rPr>
              <w:t>副总经理（负责市场营销）</w:t>
            </w:r>
          </w:p>
        </w:tc>
        <w:tc>
          <w:tcPr>
            <w:tcW w:w="2470" w:type="pct"/>
            <w:tcMar>
              <w:top w:w="0" w:type="dxa"/>
              <w:left w:w="57" w:type="dxa"/>
              <w:bottom w:w="0" w:type="dxa"/>
              <w:right w:w="57" w:type="dxa"/>
            </w:tcMar>
            <w:vAlign w:val="center"/>
          </w:tcPr>
          <w:p>
            <w:pPr>
              <w:overflowPunct w:val="0"/>
              <w:snapToGrid w:val="0"/>
              <w:ind w:firstLine="0" w:firstLineChars="0"/>
              <w:jc w:val="center"/>
              <w:rPr>
                <w:color w:val="000000"/>
                <w:kern w:val="0"/>
                <w:sz w:val="24"/>
              </w:rPr>
            </w:pPr>
            <w:r>
              <w:rPr>
                <w:color w:val="000000"/>
                <w:kern w:val="0"/>
                <w:sz w:val="24"/>
              </w:rPr>
              <w:t>产品规划、市场开发、市场营销体系建设</w:t>
            </w:r>
          </w:p>
        </w:tc>
        <w:tc>
          <w:tcPr>
            <w:tcW w:w="388" w:type="pct"/>
            <w:vAlign w:val="center"/>
          </w:tcPr>
          <w:p>
            <w:pPr>
              <w:overflowPunct w:val="0"/>
              <w:snapToGrid w:val="0"/>
              <w:ind w:firstLine="0" w:firstLineChars="0"/>
              <w:jc w:val="center"/>
              <w:rPr>
                <w:color w:val="000000"/>
                <w:kern w:val="0"/>
                <w:sz w:val="24"/>
              </w:rPr>
            </w:pPr>
            <w:r>
              <w:rPr>
                <w:rFonts w:hint="eastAsia"/>
                <w:color w:val="000000"/>
                <w:kern w:val="0"/>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2" w:hRule="atLeast"/>
          <w:jc w:val="center"/>
        </w:trPr>
        <w:tc>
          <w:tcPr>
            <w:tcW w:w="620" w:type="pct"/>
            <w:vMerge w:val="continue"/>
            <w:vAlign w:val="center"/>
          </w:tcPr>
          <w:p>
            <w:pPr>
              <w:overflowPunct w:val="0"/>
              <w:snapToGrid w:val="0"/>
              <w:ind w:firstLine="0" w:firstLineChars="0"/>
              <w:jc w:val="center"/>
              <w:rPr>
                <w:color w:val="000000"/>
                <w:kern w:val="0"/>
                <w:sz w:val="24"/>
              </w:rPr>
            </w:pPr>
          </w:p>
        </w:tc>
        <w:tc>
          <w:tcPr>
            <w:tcW w:w="1520" w:type="pct"/>
            <w:shd w:val="clear" w:color="auto" w:fill="auto"/>
            <w:vAlign w:val="center"/>
          </w:tcPr>
          <w:p>
            <w:pPr>
              <w:overflowPunct w:val="0"/>
              <w:snapToGrid w:val="0"/>
              <w:ind w:firstLine="0" w:firstLineChars="0"/>
              <w:jc w:val="center"/>
              <w:rPr>
                <w:color w:val="000000"/>
                <w:kern w:val="0"/>
                <w:sz w:val="24"/>
              </w:rPr>
            </w:pPr>
            <w:r>
              <w:rPr>
                <w:color w:val="000000"/>
                <w:kern w:val="0"/>
                <w:sz w:val="24"/>
              </w:rPr>
              <w:t>副总经理（负责实施运营）</w:t>
            </w:r>
          </w:p>
        </w:tc>
        <w:tc>
          <w:tcPr>
            <w:tcW w:w="2470" w:type="pct"/>
            <w:tcMar>
              <w:top w:w="0" w:type="dxa"/>
              <w:left w:w="57" w:type="dxa"/>
              <w:bottom w:w="0" w:type="dxa"/>
              <w:right w:w="57" w:type="dxa"/>
            </w:tcMar>
            <w:vAlign w:val="center"/>
          </w:tcPr>
          <w:p>
            <w:pPr>
              <w:overflowPunct w:val="0"/>
              <w:snapToGrid w:val="0"/>
              <w:ind w:firstLine="0" w:firstLineChars="0"/>
              <w:jc w:val="center"/>
              <w:rPr>
                <w:color w:val="000000"/>
                <w:kern w:val="0"/>
                <w:sz w:val="24"/>
              </w:rPr>
            </w:pPr>
            <w:r>
              <w:rPr>
                <w:color w:val="000000"/>
                <w:kern w:val="0"/>
                <w:sz w:val="24"/>
              </w:rPr>
              <w:t>项目实施、项目管理体系建设</w:t>
            </w:r>
          </w:p>
        </w:tc>
        <w:tc>
          <w:tcPr>
            <w:tcW w:w="388" w:type="pct"/>
            <w:vAlign w:val="center"/>
          </w:tcPr>
          <w:p>
            <w:pPr>
              <w:overflowPunct w:val="0"/>
              <w:snapToGrid w:val="0"/>
              <w:ind w:firstLine="0" w:firstLineChars="0"/>
              <w:jc w:val="center"/>
              <w:rPr>
                <w:color w:val="000000"/>
                <w:kern w:val="0"/>
                <w:sz w:val="24"/>
              </w:rPr>
            </w:pPr>
            <w:r>
              <w:rPr>
                <w:rFonts w:hint="eastAsia"/>
                <w:color w:val="000000"/>
                <w:kern w:val="0"/>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2" w:hRule="atLeast"/>
          <w:jc w:val="center"/>
        </w:trPr>
        <w:tc>
          <w:tcPr>
            <w:tcW w:w="620" w:type="pct"/>
            <w:vMerge w:val="continue"/>
            <w:vAlign w:val="center"/>
          </w:tcPr>
          <w:p>
            <w:pPr>
              <w:overflowPunct w:val="0"/>
              <w:snapToGrid w:val="0"/>
              <w:ind w:firstLine="0" w:firstLineChars="0"/>
              <w:jc w:val="center"/>
              <w:rPr>
                <w:color w:val="000000"/>
                <w:kern w:val="0"/>
                <w:sz w:val="24"/>
              </w:rPr>
            </w:pPr>
          </w:p>
        </w:tc>
        <w:tc>
          <w:tcPr>
            <w:tcW w:w="1520" w:type="pct"/>
            <w:shd w:val="clear" w:color="auto" w:fill="auto"/>
            <w:vAlign w:val="center"/>
          </w:tcPr>
          <w:p>
            <w:pPr>
              <w:overflowPunct w:val="0"/>
              <w:snapToGrid w:val="0"/>
              <w:ind w:firstLine="0" w:firstLineChars="0"/>
              <w:jc w:val="center"/>
              <w:rPr>
                <w:color w:val="000000"/>
                <w:kern w:val="0"/>
                <w:sz w:val="24"/>
              </w:rPr>
            </w:pPr>
            <w:r>
              <w:rPr>
                <w:color w:val="000000"/>
                <w:kern w:val="0"/>
                <w:sz w:val="24"/>
              </w:rPr>
              <w:t>财务总监、副总经理</w:t>
            </w:r>
          </w:p>
          <w:p>
            <w:pPr>
              <w:overflowPunct w:val="0"/>
              <w:snapToGrid w:val="0"/>
              <w:ind w:firstLine="0" w:firstLineChars="0"/>
              <w:jc w:val="center"/>
              <w:rPr>
                <w:color w:val="000000"/>
                <w:kern w:val="0"/>
                <w:sz w:val="24"/>
              </w:rPr>
            </w:pPr>
            <w:r>
              <w:rPr>
                <w:color w:val="000000"/>
                <w:kern w:val="0"/>
                <w:sz w:val="24"/>
              </w:rPr>
              <w:t>（负责综合管理）</w:t>
            </w:r>
          </w:p>
        </w:tc>
        <w:tc>
          <w:tcPr>
            <w:tcW w:w="2470" w:type="pct"/>
            <w:tcMar>
              <w:top w:w="0" w:type="dxa"/>
              <w:left w:w="57" w:type="dxa"/>
              <w:bottom w:w="0" w:type="dxa"/>
              <w:right w:w="57" w:type="dxa"/>
            </w:tcMar>
            <w:vAlign w:val="center"/>
          </w:tcPr>
          <w:p>
            <w:pPr>
              <w:overflowPunct w:val="0"/>
              <w:snapToGrid w:val="0"/>
              <w:ind w:firstLine="0" w:firstLineChars="0"/>
              <w:jc w:val="center"/>
              <w:rPr>
                <w:color w:val="000000"/>
                <w:kern w:val="0"/>
                <w:sz w:val="24"/>
              </w:rPr>
            </w:pPr>
            <w:r>
              <w:rPr>
                <w:color w:val="000000"/>
                <w:kern w:val="0"/>
                <w:sz w:val="24"/>
              </w:rPr>
              <w:t>财务管理、会计核算、行政管理、人力资源管理</w:t>
            </w:r>
          </w:p>
        </w:tc>
        <w:tc>
          <w:tcPr>
            <w:tcW w:w="388" w:type="pct"/>
            <w:vAlign w:val="center"/>
          </w:tcPr>
          <w:p>
            <w:pPr>
              <w:overflowPunct w:val="0"/>
              <w:snapToGrid w:val="0"/>
              <w:ind w:firstLine="0" w:firstLineChars="0"/>
              <w:jc w:val="center"/>
              <w:rPr>
                <w:color w:val="000000"/>
                <w:kern w:val="0"/>
                <w:sz w:val="24"/>
              </w:rPr>
            </w:pPr>
            <w:r>
              <w:rPr>
                <w:rFonts w:hint="eastAsia"/>
                <w:color w:val="000000"/>
                <w:kern w:val="0"/>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2" w:hRule="atLeast"/>
          <w:jc w:val="center"/>
        </w:trPr>
        <w:tc>
          <w:tcPr>
            <w:tcW w:w="620" w:type="pct"/>
            <w:vMerge w:val="restart"/>
            <w:vAlign w:val="center"/>
          </w:tcPr>
          <w:p>
            <w:pPr>
              <w:overflowPunct w:val="0"/>
              <w:snapToGrid w:val="0"/>
              <w:ind w:firstLine="0" w:firstLineChars="0"/>
              <w:jc w:val="center"/>
              <w:rPr>
                <w:color w:val="000000"/>
                <w:sz w:val="24"/>
              </w:rPr>
            </w:pPr>
            <w:r>
              <w:rPr>
                <w:color w:val="000000"/>
                <w:sz w:val="24"/>
              </w:rPr>
              <w:t>信息公司</w:t>
            </w:r>
          </w:p>
          <w:p>
            <w:pPr>
              <w:spacing w:after="120"/>
              <w:ind w:firstLine="0" w:firstLineChars="0"/>
              <w:rPr>
                <w:rFonts w:ascii="Calibri" w:hAnsi="Calibri" w:eastAsia="宋体"/>
                <w:sz w:val="21"/>
              </w:rPr>
            </w:pPr>
            <w:r>
              <w:rPr>
                <w:rFonts w:hint="eastAsia" w:ascii="Calibri" w:hAnsi="Calibri" w:eastAsia="宋体"/>
                <w:sz w:val="21"/>
              </w:rPr>
              <w:t>（工作地点：辽宁沈阳）</w:t>
            </w:r>
          </w:p>
        </w:tc>
        <w:tc>
          <w:tcPr>
            <w:tcW w:w="1520" w:type="pct"/>
            <w:shd w:val="clear" w:color="auto" w:fill="auto"/>
            <w:vAlign w:val="center"/>
          </w:tcPr>
          <w:p>
            <w:pPr>
              <w:overflowPunct w:val="0"/>
              <w:snapToGrid w:val="0"/>
              <w:ind w:firstLine="0" w:firstLineChars="0"/>
              <w:jc w:val="center"/>
              <w:rPr>
                <w:color w:val="000000"/>
                <w:sz w:val="24"/>
              </w:rPr>
            </w:pPr>
            <w:r>
              <w:rPr>
                <w:color w:val="000000"/>
                <w:sz w:val="24"/>
              </w:rPr>
              <w:t>总经理</w:t>
            </w:r>
          </w:p>
        </w:tc>
        <w:tc>
          <w:tcPr>
            <w:tcW w:w="2470" w:type="pct"/>
            <w:tcMar>
              <w:top w:w="0" w:type="dxa"/>
              <w:left w:w="57" w:type="dxa"/>
              <w:bottom w:w="0" w:type="dxa"/>
              <w:right w:w="57" w:type="dxa"/>
            </w:tcMar>
            <w:vAlign w:val="center"/>
          </w:tcPr>
          <w:p>
            <w:pPr>
              <w:overflowPunct w:val="0"/>
              <w:snapToGrid w:val="0"/>
              <w:ind w:firstLine="0" w:firstLineChars="0"/>
              <w:jc w:val="center"/>
              <w:rPr>
                <w:color w:val="000000"/>
                <w:sz w:val="24"/>
              </w:rPr>
            </w:pPr>
            <w:r>
              <w:rPr>
                <w:color w:val="000000"/>
                <w:sz w:val="24"/>
              </w:rPr>
              <w:t>全面管理</w:t>
            </w:r>
          </w:p>
        </w:tc>
        <w:tc>
          <w:tcPr>
            <w:tcW w:w="388" w:type="pct"/>
            <w:vAlign w:val="center"/>
          </w:tcPr>
          <w:p>
            <w:pPr>
              <w:overflowPunct w:val="0"/>
              <w:snapToGrid w:val="0"/>
              <w:ind w:firstLine="0" w:firstLineChars="0"/>
              <w:jc w:val="center"/>
              <w:rPr>
                <w:color w:val="000000"/>
                <w:sz w:val="24"/>
              </w:rPr>
            </w:pPr>
            <w:r>
              <w:rPr>
                <w:rFonts w:hint="eastAsia"/>
                <w:color w:val="000000"/>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2" w:hRule="atLeast"/>
          <w:jc w:val="center"/>
        </w:trPr>
        <w:tc>
          <w:tcPr>
            <w:tcW w:w="620" w:type="pct"/>
            <w:vMerge w:val="continue"/>
            <w:vAlign w:val="center"/>
          </w:tcPr>
          <w:p>
            <w:pPr>
              <w:overflowPunct w:val="0"/>
              <w:snapToGrid w:val="0"/>
              <w:ind w:firstLine="0" w:firstLineChars="0"/>
              <w:jc w:val="center"/>
              <w:rPr>
                <w:color w:val="000000"/>
                <w:sz w:val="24"/>
              </w:rPr>
            </w:pPr>
          </w:p>
        </w:tc>
        <w:tc>
          <w:tcPr>
            <w:tcW w:w="1520" w:type="pct"/>
            <w:shd w:val="clear" w:color="auto" w:fill="auto"/>
            <w:vAlign w:val="center"/>
          </w:tcPr>
          <w:p>
            <w:pPr>
              <w:overflowPunct w:val="0"/>
              <w:snapToGrid w:val="0"/>
              <w:ind w:firstLine="0" w:firstLineChars="0"/>
              <w:jc w:val="center"/>
              <w:rPr>
                <w:color w:val="000000"/>
                <w:sz w:val="24"/>
              </w:rPr>
            </w:pPr>
            <w:r>
              <w:rPr>
                <w:color w:val="000000"/>
                <w:sz w:val="24"/>
              </w:rPr>
              <w:t>副总经理（负责网络安全）</w:t>
            </w:r>
          </w:p>
        </w:tc>
        <w:tc>
          <w:tcPr>
            <w:tcW w:w="2470" w:type="pct"/>
            <w:tcMar>
              <w:top w:w="0" w:type="dxa"/>
              <w:left w:w="57" w:type="dxa"/>
              <w:bottom w:w="0" w:type="dxa"/>
              <w:right w:w="57" w:type="dxa"/>
            </w:tcMar>
            <w:vAlign w:val="center"/>
          </w:tcPr>
          <w:p>
            <w:pPr>
              <w:overflowPunct w:val="0"/>
              <w:snapToGrid w:val="0"/>
              <w:ind w:firstLine="0" w:firstLineChars="0"/>
              <w:jc w:val="center"/>
              <w:rPr>
                <w:color w:val="000000"/>
                <w:sz w:val="24"/>
              </w:rPr>
            </w:pPr>
            <w:r>
              <w:rPr>
                <w:color w:val="000000"/>
                <w:sz w:val="24"/>
              </w:rPr>
              <w:t>网络安全项目市场营销、研发、实施运维全过程流程</w:t>
            </w:r>
          </w:p>
        </w:tc>
        <w:tc>
          <w:tcPr>
            <w:tcW w:w="388" w:type="pct"/>
            <w:vAlign w:val="center"/>
          </w:tcPr>
          <w:p>
            <w:pPr>
              <w:overflowPunct w:val="0"/>
              <w:snapToGrid w:val="0"/>
              <w:ind w:firstLine="0" w:firstLineChars="0"/>
              <w:jc w:val="center"/>
              <w:rPr>
                <w:color w:val="000000"/>
                <w:sz w:val="24"/>
              </w:rPr>
            </w:pPr>
            <w:r>
              <w:rPr>
                <w:rFonts w:hint="eastAsia"/>
                <w:color w:val="000000"/>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2" w:hRule="atLeast"/>
          <w:jc w:val="center"/>
        </w:trPr>
        <w:tc>
          <w:tcPr>
            <w:tcW w:w="620" w:type="pct"/>
            <w:vMerge w:val="continue"/>
            <w:vAlign w:val="center"/>
          </w:tcPr>
          <w:p>
            <w:pPr>
              <w:overflowPunct w:val="0"/>
              <w:snapToGrid w:val="0"/>
              <w:ind w:firstLine="0" w:firstLineChars="0"/>
              <w:jc w:val="center"/>
              <w:rPr>
                <w:color w:val="000000"/>
                <w:sz w:val="24"/>
              </w:rPr>
            </w:pPr>
          </w:p>
        </w:tc>
        <w:tc>
          <w:tcPr>
            <w:tcW w:w="1520" w:type="pct"/>
            <w:shd w:val="clear" w:color="auto" w:fill="auto"/>
            <w:vAlign w:val="center"/>
          </w:tcPr>
          <w:p>
            <w:pPr>
              <w:overflowPunct w:val="0"/>
              <w:snapToGrid w:val="0"/>
              <w:ind w:firstLine="0" w:firstLineChars="0"/>
              <w:jc w:val="center"/>
              <w:rPr>
                <w:color w:val="000000"/>
                <w:sz w:val="24"/>
              </w:rPr>
            </w:pPr>
            <w:r>
              <w:rPr>
                <w:color w:val="000000"/>
                <w:sz w:val="24"/>
              </w:rPr>
              <w:t>副总经理（负责信创）</w:t>
            </w:r>
          </w:p>
        </w:tc>
        <w:tc>
          <w:tcPr>
            <w:tcW w:w="2470" w:type="pct"/>
            <w:tcMar>
              <w:top w:w="0" w:type="dxa"/>
              <w:left w:w="57" w:type="dxa"/>
              <w:bottom w:w="0" w:type="dxa"/>
              <w:right w:w="57" w:type="dxa"/>
            </w:tcMar>
            <w:vAlign w:val="center"/>
          </w:tcPr>
          <w:p>
            <w:pPr>
              <w:overflowPunct w:val="0"/>
              <w:snapToGrid w:val="0"/>
              <w:ind w:firstLine="0" w:firstLineChars="0"/>
              <w:jc w:val="center"/>
              <w:rPr>
                <w:color w:val="000000"/>
                <w:sz w:val="24"/>
              </w:rPr>
            </w:pPr>
            <w:r>
              <w:rPr>
                <w:color w:val="000000"/>
                <w:sz w:val="24"/>
              </w:rPr>
              <w:t>信创项目市场营销、研发、实施运维全过程流程</w:t>
            </w:r>
          </w:p>
        </w:tc>
        <w:tc>
          <w:tcPr>
            <w:tcW w:w="388" w:type="pct"/>
            <w:vAlign w:val="center"/>
          </w:tcPr>
          <w:p>
            <w:pPr>
              <w:overflowPunct w:val="0"/>
              <w:snapToGrid w:val="0"/>
              <w:ind w:firstLine="0" w:firstLineChars="0"/>
              <w:jc w:val="center"/>
              <w:rPr>
                <w:color w:val="000000"/>
                <w:sz w:val="24"/>
              </w:rPr>
            </w:pPr>
            <w:r>
              <w:rPr>
                <w:rFonts w:hint="eastAsia"/>
                <w:color w:val="000000"/>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2" w:hRule="atLeast"/>
          <w:jc w:val="center"/>
        </w:trPr>
        <w:tc>
          <w:tcPr>
            <w:tcW w:w="620" w:type="pct"/>
            <w:vMerge w:val="continue"/>
            <w:vAlign w:val="center"/>
          </w:tcPr>
          <w:p>
            <w:pPr>
              <w:overflowPunct w:val="0"/>
              <w:snapToGrid w:val="0"/>
              <w:ind w:firstLine="0" w:firstLineChars="0"/>
              <w:jc w:val="center"/>
              <w:rPr>
                <w:color w:val="000000"/>
                <w:sz w:val="24"/>
              </w:rPr>
            </w:pPr>
          </w:p>
        </w:tc>
        <w:tc>
          <w:tcPr>
            <w:tcW w:w="1520" w:type="pct"/>
            <w:shd w:val="clear" w:color="auto" w:fill="auto"/>
            <w:vAlign w:val="center"/>
          </w:tcPr>
          <w:p>
            <w:pPr>
              <w:overflowPunct w:val="0"/>
              <w:snapToGrid w:val="0"/>
              <w:ind w:firstLine="0" w:firstLineChars="0"/>
              <w:jc w:val="center"/>
              <w:rPr>
                <w:color w:val="000000"/>
                <w:sz w:val="24"/>
              </w:rPr>
            </w:pPr>
            <w:r>
              <w:rPr>
                <w:color w:val="000000"/>
                <w:sz w:val="24"/>
              </w:rPr>
              <w:t>财务总监、副总经理</w:t>
            </w:r>
          </w:p>
          <w:p>
            <w:pPr>
              <w:overflowPunct w:val="0"/>
              <w:snapToGrid w:val="0"/>
              <w:ind w:firstLine="0" w:firstLineChars="0"/>
              <w:jc w:val="center"/>
              <w:rPr>
                <w:color w:val="000000"/>
                <w:sz w:val="24"/>
              </w:rPr>
            </w:pPr>
            <w:r>
              <w:rPr>
                <w:color w:val="000000"/>
                <w:sz w:val="24"/>
              </w:rPr>
              <w:t>（负责综合管理）</w:t>
            </w:r>
          </w:p>
        </w:tc>
        <w:tc>
          <w:tcPr>
            <w:tcW w:w="2470" w:type="pct"/>
            <w:tcMar>
              <w:top w:w="0" w:type="dxa"/>
              <w:left w:w="57" w:type="dxa"/>
              <w:bottom w:w="0" w:type="dxa"/>
              <w:right w:w="57" w:type="dxa"/>
            </w:tcMar>
            <w:vAlign w:val="center"/>
          </w:tcPr>
          <w:p>
            <w:pPr>
              <w:overflowPunct w:val="0"/>
              <w:snapToGrid w:val="0"/>
              <w:ind w:firstLine="0" w:firstLineChars="0"/>
              <w:jc w:val="center"/>
              <w:rPr>
                <w:color w:val="000000"/>
                <w:sz w:val="24"/>
              </w:rPr>
            </w:pPr>
            <w:r>
              <w:rPr>
                <w:color w:val="000000"/>
                <w:sz w:val="24"/>
              </w:rPr>
              <w:t>财务管理、会计核算、行政管理、人力资源管理</w:t>
            </w:r>
          </w:p>
        </w:tc>
        <w:tc>
          <w:tcPr>
            <w:tcW w:w="388" w:type="pct"/>
            <w:vAlign w:val="center"/>
          </w:tcPr>
          <w:p>
            <w:pPr>
              <w:overflowPunct w:val="0"/>
              <w:snapToGrid w:val="0"/>
              <w:ind w:firstLine="0" w:firstLineChars="0"/>
              <w:jc w:val="center"/>
              <w:rPr>
                <w:color w:val="000000"/>
                <w:sz w:val="24"/>
              </w:rPr>
            </w:pPr>
            <w:r>
              <w:rPr>
                <w:rFonts w:hint="eastAsia"/>
                <w:color w:val="000000"/>
                <w:sz w:val="24"/>
              </w:rPr>
              <w:t>1人</w:t>
            </w:r>
          </w:p>
        </w:tc>
      </w:tr>
    </w:tbl>
    <w:p>
      <w:pPr>
        <w:numPr>
          <w:ilvl w:val="0"/>
          <w:numId w:val="2"/>
        </w:numPr>
        <w:ind w:firstLine="632" w:firstLineChars="0"/>
        <w:rPr>
          <w:rFonts w:hAnsi="黑体" w:eastAsia="黑体"/>
          <w:szCs w:val="32"/>
        </w:rPr>
      </w:pPr>
      <w:r>
        <w:rPr>
          <w:rFonts w:hint="eastAsia" w:hAnsi="黑体" w:eastAsia="黑体"/>
          <w:szCs w:val="32"/>
        </w:rPr>
        <w:t>应聘的基本条件</w:t>
      </w:r>
    </w:p>
    <w:p>
      <w:pPr>
        <w:adjustRightInd w:val="0"/>
        <w:snapToGrid w:val="0"/>
        <w:spacing w:line="360" w:lineRule="auto"/>
        <w:ind w:firstLine="640" w:firstLineChars="0"/>
        <w:rPr>
          <w:rFonts w:ascii="仿宋_GB2312" w:hAnsi="仿宋"/>
          <w:sz w:val="30"/>
          <w:szCs w:val="30"/>
        </w:rPr>
      </w:pPr>
      <w:r>
        <w:rPr>
          <w:rFonts w:hint="eastAsia" w:ascii="仿宋_GB2312" w:hAnsi="仿宋"/>
          <w:sz w:val="30"/>
          <w:szCs w:val="30"/>
        </w:rPr>
        <w:t>（一）具有中华人民共和国国籍；拥护中国共产党；年满十八周岁；具有良好品行；具有正常履行职责的身体条件和心理素质。</w:t>
      </w:r>
    </w:p>
    <w:p>
      <w:pPr>
        <w:adjustRightInd w:val="0"/>
        <w:snapToGrid w:val="0"/>
        <w:spacing w:line="360" w:lineRule="auto"/>
        <w:ind w:firstLine="640" w:firstLineChars="0"/>
        <w:rPr>
          <w:rFonts w:ascii="仿宋_GB2312" w:hAnsi="仿宋"/>
          <w:szCs w:val="32"/>
          <w:highlight w:val="none"/>
        </w:rPr>
      </w:pPr>
      <w:r>
        <w:rPr>
          <w:rFonts w:hint="eastAsia" w:ascii="仿宋_GB2312" w:hAnsi="仿宋"/>
          <w:szCs w:val="32"/>
        </w:rPr>
        <w:t>（二）应聘者应符合招聘岗位要求的年龄、学历、专业、经验等任职资格要求，具体要求详见《雄安公司职业经理人选拔标准》</w:t>
      </w:r>
      <w:r>
        <w:rPr>
          <w:rFonts w:hint="eastAsia" w:ascii="仿宋_GB2312" w:hAnsi="仿宋"/>
          <w:szCs w:val="32"/>
          <w:highlight w:val="none"/>
        </w:rPr>
        <w:t>（附件</w:t>
      </w:r>
      <w:r>
        <w:rPr>
          <w:rFonts w:hint="eastAsia"/>
          <w:color w:val="000000" w:themeColor="text1"/>
          <w:szCs w:val="32"/>
          <w:highlight w:val="none"/>
          <w14:textFill>
            <w14:solidFill>
              <w14:schemeClr w14:val="tx1"/>
            </w14:solidFill>
          </w14:textFill>
        </w:rPr>
        <w:t>1</w:t>
      </w:r>
      <w:r>
        <w:rPr>
          <w:rFonts w:hint="eastAsia" w:ascii="仿宋_GB2312" w:hAnsi="仿宋"/>
          <w:szCs w:val="32"/>
          <w:highlight w:val="none"/>
        </w:rPr>
        <w:t>）及《信息公司职业经理人选拔标准》（附件</w:t>
      </w:r>
      <w:r>
        <w:rPr>
          <w:rFonts w:hint="eastAsia"/>
          <w:color w:val="000000" w:themeColor="text1"/>
          <w:szCs w:val="32"/>
          <w:highlight w:val="none"/>
          <w14:textFill>
            <w14:solidFill>
              <w14:schemeClr w14:val="tx1"/>
            </w14:solidFill>
          </w14:textFill>
        </w:rPr>
        <w:t>2</w:t>
      </w:r>
      <w:r>
        <w:rPr>
          <w:rFonts w:hint="eastAsia" w:ascii="仿宋_GB2312" w:hAnsi="仿宋"/>
          <w:szCs w:val="32"/>
          <w:highlight w:val="none"/>
        </w:rPr>
        <w:t>）。</w:t>
      </w:r>
    </w:p>
    <w:p>
      <w:pPr>
        <w:adjustRightInd w:val="0"/>
        <w:snapToGrid w:val="0"/>
        <w:spacing w:line="360" w:lineRule="auto"/>
        <w:ind w:firstLine="640" w:firstLineChars="0"/>
        <w:rPr>
          <w:rFonts w:ascii="仿宋_GB2312" w:hAnsi="仿宋"/>
          <w:szCs w:val="32"/>
          <w:highlight w:val="none"/>
        </w:rPr>
      </w:pPr>
      <w:r>
        <w:rPr>
          <w:rFonts w:hint="eastAsia" w:ascii="仿宋_GB2312" w:hAnsi="仿宋"/>
          <w:szCs w:val="32"/>
          <w:highlight w:val="none"/>
        </w:rPr>
        <w:t>（三）因本次招聘实行</w:t>
      </w:r>
      <w:r>
        <w:rPr>
          <w:rFonts w:hint="eastAsia" w:ascii="仿宋_GB2312"/>
          <w:bCs/>
          <w:szCs w:val="32"/>
          <w:highlight w:val="none"/>
        </w:rPr>
        <w:t>市场化选聘、契约化管理，应聘者应在报名前知悉并认同</w:t>
      </w:r>
      <w:r>
        <w:rPr>
          <w:rFonts w:hint="eastAsia" w:ascii="仿宋_GB2312" w:hAnsi="仿宋"/>
          <w:szCs w:val="32"/>
          <w:highlight w:val="none"/>
        </w:rPr>
        <w:t>所应聘子企业的</w:t>
      </w:r>
      <w:r>
        <w:rPr>
          <w:rFonts w:hint="eastAsia" w:ascii="仿宋_GB2312"/>
          <w:bCs/>
          <w:szCs w:val="32"/>
          <w:highlight w:val="none"/>
        </w:rPr>
        <w:t>职业经理人契约化管理内容，包括聘任期限、绩效目标及考核、薪酬待遇及兑现、以及市场化退出等，具体详见《雄安公司职业经理人契约化管理方案》（附件</w:t>
      </w:r>
      <w:r>
        <w:rPr>
          <w:rFonts w:hint="eastAsia"/>
          <w:color w:val="000000" w:themeColor="text1"/>
          <w:szCs w:val="32"/>
          <w:highlight w:val="none"/>
          <w14:textFill>
            <w14:solidFill>
              <w14:schemeClr w14:val="tx1"/>
            </w14:solidFill>
          </w14:textFill>
        </w:rPr>
        <w:t>3</w:t>
      </w:r>
      <w:r>
        <w:rPr>
          <w:rFonts w:hint="eastAsia" w:ascii="仿宋_GB2312"/>
          <w:bCs/>
          <w:szCs w:val="32"/>
          <w:highlight w:val="none"/>
        </w:rPr>
        <w:t>）及《信息公司职业经理人契约化管理方案》（附件</w:t>
      </w:r>
      <w:r>
        <w:rPr>
          <w:rFonts w:hint="eastAsia"/>
          <w:color w:val="000000" w:themeColor="text1"/>
          <w:szCs w:val="32"/>
          <w:highlight w:val="none"/>
          <w14:textFill>
            <w14:solidFill>
              <w14:schemeClr w14:val="tx1"/>
            </w14:solidFill>
          </w14:textFill>
        </w:rPr>
        <w:t>4</w:t>
      </w:r>
      <w:r>
        <w:rPr>
          <w:rFonts w:hint="eastAsia" w:ascii="仿宋_GB2312"/>
          <w:bCs/>
          <w:szCs w:val="32"/>
          <w:highlight w:val="none"/>
        </w:rPr>
        <w:t>）</w:t>
      </w:r>
    </w:p>
    <w:p>
      <w:pPr>
        <w:adjustRightInd w:val="0"/>
        <w:snapToGrid w:val="0"/>
        <w:spacing w:line="360" w:lineRule="auto"/>
        <w:ind w:firstLine="640" w:firstLineChars="0"/>
        <w:rPr>
          <w:rFonts w:ascii="仿宋_GB2312" w:hAnsi="仿宋"/>
          <w:szCs w:val="32"/>
        </w:rPr>
      </w:pPr>
      <w:r>
        <w:rPr>
          <w:rFonts w:hint="eastAsia" w:ascii="仿宋_GB2312" w:hAnsi="仿宋"/>
          <w:szCs w:val="32"/>
        </w:rPr>
        <w:t>（四）应聘人员不得应聘聘用后即构成回避关系的招聘职位。</w:t>
      </w:r>
    </w:p>
    <w:p>
      <w:pPr>
        <w:adjustRightInd w:val="0"/>
        <w:snapToGrid w:val="0"/>
        <w:spacing w:line="360" w:lineRule="auto"/>
        <w:ind w:firstLine="640" w:firstLineChars="0"/>
        <w:rPr>
          <w:rFonts w:ascii="仿宋_GB2312" w:hAnsi="仿宋"/>
          <w:szCs w:val="32"/>
        </w:rPr>
      </w:pPr>
      <w:r>
        <w:rPr>
          <w:rFonts w:hint="eastAsia" w:ascii="仿宋_GB2312" w:hAnsi="仿宋"/>
          <w:szCs w:val="32"/>
        </w:rPr>
        <w:t>（五）应聘人员无违法违纪行为和不良记录。</w:t>
      </w:r>
    </w:p>
    <w:p>
      <w:pPr>
        <w:numPr>
          <w:ilvl w:val="0"/>
          <w:numId w:val="2"/>
        </w:numPr>
        <w:ind w:firstLine="632" w:firstLineChars="0"/>
        <w:rPr>
          <w:rFonts w:hAnsi="黑体" w:eastAsia="黑体"/>
          <w:szCs w:val="32"/>
        </w:rPr>
      </w:pPr>
      <w:r>
        <w:rPr>
          <w:rFonts w:hint="eastAsia" w:hAnsi="黑体" w:eastAsia="黑体"/>
          <w:szCs w:val="32"/>
        </w:rPr>
        <w:t>招聘程序</w:t>
      </w:r>
    </w:p>
    <w:p>
      <w:pPr>
        <w:adjustRightInd w:val="0"/>
        <w:snapToGrid w:val="0"/>
        <w:spacing w:line="360" w:lineRule="auto"/>
        <w:ind w:firstLine="640" w:firstLineChars="0"/>
        <w:rPr>
          <w:rFonts w:ascii="仿宋_GB2312" w:hAnsi="仿宋"/>
          <w:szCs w:val="32"/>
        </w:rPr>
      </w:pPr>
      <w:r>
        <w:rPr>
          <w:rFonts w:hint="eastAsia" w:ascii="仿宋_GB2312" w:hAnsi="仿宋"/>
          <w:szCs w:val="32"/>
        </w:rPr>
        <w:t>本次招聘按照报名与资格审查、综合考评、组织考察和背景调查、提出和确定拟聘任人选、聘任和签约等</w:t>
      </w:r>
      <w:r>
        <w:rPr>
          <w:rFonts w:hint="eastAsia"/>
          <w:color w:val="000000" w:themeColor="text1"/>
          <w:szCs w:val="32"/>
          <w14:textFill>
            <w14:solidFill>
              <w14:schemeClr w14:val="tx1"/>
            </w14:solidFill>
          </w14:textFill>
        </w:rPr>
        <w:t>5</w:t>
      </w:r>
      <w:r>
        <w:rPr>
          <w:rFonts w:hint="eastAsia" w:ascii="仿宋_GB2312" w:hAnsi="仿宋"/>
          <w:szCs w:val="32"/>
        </w:rPr>
        <w:t>个主要阶段。</w:t>
      </w:r>
    </w:p>
    <w:p>
      <w:pPr>
        <w:overflowPunct w:val="0"/>
        <w:ind w:firstLine="632"/>
        <w:rPr>
          <w:color w:val="000000" w:themeColor="text1"/>
          <w:szCs w:val="32"/>
          <w14:textFill>
            <w14:solidFill>
              <w14:schemeClr w14:val="tx1"/>
            </w14:solidFill>
          </w14:textFill>
        </w:rPr>
      </w:pPr>
      <w:r>
        <w:rPr>
          <w:rFonts w:hint="eastAsia" w:ascii="仿宋_GB2312" w:hAnsi="仿宋"/>
          <w:szCs w:val="32"/>
        </w:rPr>
        <w:t>（一）</w:t>
      </w:r>
      <w:r>
        <w:rPr>
          <w:rFonts w:hint="eastAsia"/>
          <w:color w:val="000000" w:themeColor="text1"/>
          <w:szCs w:val="32"/>
          <w14:textFill>
            <w14:solidFill>
              <w14:schemeClr w14:val="tx1"/>
            </w14:solidFill>
          </w14:textFill>
        </w:rPr>
        <w:t>报名和资格审查</w:t>
      </w:r>
    </w:p>
    <w:p>
      <w:pPr>
        <w:overflowPunct w:val="0"/>
        <w:ind w:firstLine="63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1.发布招聘公告。在辽宁省国资委、辽宁交投集团和外部人力资源市场等公开发布招聘公告。</w:t>
      </w:r>
    </w:p>
    <w:p>
      <w:pPr>
        <w:overflowPunct w:val="0"/>
        <w:ind w:firstLine="632"/>
        <w:rPr>
          <w:rFonts w:ascii="仿宋_GB2312" w:hAnsi="仿宋"/>
          <w:szCs w:val="32"/>
        </w:rPr>
      </w:pPr>
      <w:r>
        <w:rPr>
          <w:color w:val="000000" w:themeColor="text1"/>
          <w:szCs w:val="32"/>
          <w14:textFill>
            <w14:solidFill>
              <w14:schemeClr w14:val="tx1"/>
            </w14:solidFill>
          </w14:textFill>
        </w:rPr>
        <w:t>2.</w:t>
      </w:r>
      <w:r>
        <w:rPr>
          <w:rFonts w:hint="eastAsia"/>
          <w:color w:val="000000" w:themeColor="text1"/>
          <w:szCs w:val="32"/>
          <w14:textFill>
            <w14:solidFill>
              <w14:schemeClr w14:val="tx1"/>
            </w14:solidFill>
          </w14:textFill>
        </w:rPr>
        <w:t>受理报</w:t>
      </w:r>
      <w:r>
        <w:rPr>
          <w:rFonts w:hint="eastAsia" w:ascii="仿宋_GB2312" w:hAnsi="仿宋"/>
          <w:szCs w:val="32"/>
        </w:rPr>
        <w:t>名。</w:t>
      </w:r>
    </w:p>
    <w:p>
      <w:pPr>
        <w:overflowPunct w:val="0"/>
        <w:ind w:firstLine="632"/>
        <w:rPr>
          <w:rFonts w:ascii="仿宋_GB2312" w:hAnsi="仿宋"/>
          <w:szCs w:val="32"/>
        </w:rPr>
      </w:pPr>
      <w:r>
        <w:rPr>
          <w:rFonts w:hint="eastAsia"/>
          <w:color w:val="000000" w:themeColor="text1"/>
          <w:szCs w:val="32"/>
          <w14:textFill>
            <w14:solidFill>
              <w14:schemeClr w14:val="tx1"/>
            </w14:solidFill>
          </w14:textFill>
        </w:rPr>
        <w:t>3.资格审</w:t>
      </w:r>
      <w:r>
        <w:rPr>
          <w:rFonts w:hint="eastAsia" w:ascii="仿宋_GB2312" w:hAnsi="仿宋"/>
          <w:szCs w:val="32"/>
        </w:rPr>
        <w:t>查。按照公告的资格条件开展资格审查。</w:t>
      </w:r>
    </w:p>
    <w:p>
      <w:pPr>
        <w:overflowPunct w:val="0"/>
        <w:ind w:firstLine="63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（二）</w:t>
      </w:r>
      <w:r>
        <w:rPr>
          <w:color w:val="000000" w:themeColor="text1"/>
          <w:szCs w:val="32"/>
          <w14:textFill>
            <w14:solidFill>
              <w14:schemeClr w14:val="tx1"/>
            </w14:solidFill>
          </w14:textFill>
        </w:rPr>
        <w:t>综合考评</w:t>
      </w:r>
    </w:p>
    <w:p>
      <w:pPr>
        <w:overflowPunct w:val="0"/>
        <w:ind w:firstLine="63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按照招聘公告的约定，对应聘人员进行综合测评，包括履历业绩评价、心理测评、笔试、面试。</w:t>
      </w:r>
    </w:p>
    <w:p>
      <w:pPr>
        <w:overflowPunct w:val="0"/>
        <w:ind w:firstLine="63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（三）组织考察和背景调查</w:t>
      </w:r>
    </w:p>
    <w:p>
      <w:pPr>
        <w:overflowPunct w:val="0"/>
        <w:ind w:firstLine="632"/>
        <w:rPr>
          <w:color w:val="000000" w:themeColor="text1"/>
          <w:szCs w:val="32"/>
          <w14:textFill>
            <w14:solidFill>
              <w14:schemeClr w14:val="tx1"/>
            </w14:solidFill>
          </w14:textFill>
        </w:rPr>
      </w:pPr>
      <w:r>
        <w:rPr>
          <w:color w:val="000000" w:themeColor="text1"/>
          <w:szCs w:val="32"/>
          <w14:textFill>
            <w14:solidFill>
              <w14:schemeClr w14:val="tx1"/>
            </w14:solidFill>
          </w14:textFill>
        </w:rPr>
        <w:t>对初步考察人选进行组织考察，对考察人选政治素质、履职能力、创新精神、工作业绩、职业素养、廉洁从业等情况进行分析评价。</w:t>
      </w:r>
      <w:r>
        <w:rPr>
          <w:rFonts w:hint="eastAsia"/>
          <w:color w:val="000000" w:themeColor="text1"/>
          <w:szCs w:val="32"/>
          <w14:textFill>
            <w14:solidFill>
              <w14:schemeClr w14:val="tx1"/>
            </w14:solidFill>
          </w14:textFill>
        </w:rPr>
        <w:t>对</w:t>
      </w:r>
      <w:r>
        <w:rPr>
          <w:color w:val="000000" w:themeColor="text1"/>
          <w:szCs w:val="32"/>
          <w14:textFill>
            <w14:solidFill>
              <w14:schemeClr w14:val="tx1"/>
            </w14:solidFill>
          </w14:textFill>
        </w:rPr>
        <w:t>来自</w:t>
      </w:r>
      <w:r>
        <w:rPr>
          <w:rFonts w:hint="eastAsia"/>
        </w:rPr>
        <w:t>艾特斯公司</w:t>
      </w:r>
      <w:r>
        <w:rPr>
          <w:rFonts w:hint="eastAsia"/>
          <w:color w:val="000000" w:themeColor="text1"/>
          <w:szCs w:val="32"/>
          <w14:textFill>
            <w14:solidFill>
              <w14:schemeClr w14:val="tx1"/>
            </w14:solidFill>
          </w14:textFill>
        </w:rPr>
        <w:t>及其子企业</w:t>
      </w:r>
      <w:r>
        <w:rPr>
          <w:color w:val="000000" w:themeColor="text1"/>
          <w:szCs w:val="32"/>
          <w14:textFill>
            <w14:solidFill>
              <w14:schemeClr w14:val="tx1"/>
            </w14:solidFill>
          </w14:textFill>
        </w:rPr>
        <w:t>外部</w:t>
      </w:r>
      <w:r>
        <w:rPr>
          <w:rFonts w:hint="eastAsia"/>
          <w:color w:val="000000" w:themeColor="text1"/>
          <w:szCs w:val="32"/>
          <w14:textFill>
            <w14:solidFill>
              <w14:schemeClr w14:val="tx1"/>
            </w14:solidFill>
          </w14:textFill>
        </w:rPr>
        <w:t>的</w:t>
      </w:r>
      <w:r>
        <w:rPr>
          <w:color w:val="000000" w:themeColor="text1"/>
          <w:szCs w:val="32"/>
          <w14:textFill>
            <w14:solidFill>
              <w14:schemeClr w14:val="tx1"/>
            </w14:solidFill>
          </w14:textFill>
        </w:rPr>
        <w:t>初步考察人选，</w:t>
      </w:r>
      <w:r>
        <w:rPr>
          <w:rFonts w:hint="eastAsia"/>
          <w:color w:val="000000" w:themeColor="text1"/>
          <w:szCs w:val="32"/>
          <w14:textFill>
            <w14:solidFill>
              <w14:schemeClr w14:val="tx1"/>
            </w14:solidFill>
          </w14:textFill>
        </w:rPr>
        <w:t>将</w:t>
      </w:r>
      <w:r>
        <w:rPr>
          <w:color w:val="000000" w:themeColor="text1"/>
          <w:szCs w:val="32"/>
          <w14:textFill>
            <w14:solidFill>
              <w14:schemeClr w14:val="tx1"/>
            </w14:solidFill>
          </w14:textFill>
        </w:rPr>
        <w:t>委托专业机构开展背景调查。</w:t>
      </w:r>
    </w:p>
    <w:p>
      <w:pPr>
        <w:overflowPunct w:val="0"/>
        <w:ind w:firstLine="632"/>
        <w:rPr>
          <w:color w:val="000000" w:themeColor="text1"/>
          <w:szCs w:val="32"/>
          <w14:textFill>
            <w14:solidFill>
              <w14:schemeClr w14:val="tx1"/>
            </w14:solidFill>
          </w14:textFill>
        </w:rPr>
      </w:pPr>
      <w:bookmarkStart w:id="2" w:name="_Hlk166588111"/>
      <w:r>
        <w:rPr>
          <w:rFonts w:hint="eastAsia"/>
          <w:color w:val="000000" w:themeColor="text1"/>
          <w:szCs w:val="32"/>
          <w14:textFill>
            <w14:solidFill>
              <w14:schemeClr w14:val="tx1"/>
            </w14:solidFill>
          </w14:textFill>
        </w:rPr>
        <w:t>（四）</w:t>
      </w:r>
      <w:r>
        <w:rPr>
          <w:color w:val="000000" w:themeColor="text1"/>
          <w:szCs w:val="32"/>
          <w14:textFill>
            <w14:solidFill>
              <w14:schemeClr w14:val="tx1"/>
            </w14:solidFill>
          </w14:textFill>
        </w:rPr>
        <w:t>提出和确定拟聘任人选</w:t>
      </w:r>
      <w:bookmarkEnd w:id="2"/>
      <w:bookmarkStart w:id="14" w:name="_GoBack"/>
      <w:bookmarkEnd w:id="14"/>
    </w:p>
    <w:p>
      <w:pPr>
        <w:overflowPunct w:val="0"/>
        <w:ind w:firstLine="632"/>
        <w:rPr>
          <w:color w:val="000000" w:themeColor="text1"/>
          <w:szCs w:val="32"/>
          <w14:textFill>
            <w14:solidFill>
              <w14:schemeClr w14:val="tx1"/>
            </w14:solidFill>
          </w14:textFill>
        </w:rPr>
      </w:pPr>
      <w:bookmarkStart w:id="3" w:name="_Hlk166588129"/>
      <w:r>
        <w:rPr>
          <w:rFonts w:hint="eastAsia"/>
          <w:color w:val="000000" w:themeColor="text1"/>
          <w:szCs w:val="32"/>
          <w14:textFill>
            <w14:solidFill>
              <w14:schemeClr w14:val="tx1"/>
            </w14:solidFill>
          </w14:textFill>
        </w:rPr>
        <w:t>（五）</w:t>
      </w:r>
      <w:r>
        <w:rPr>
          <w:color w:val="000000" w:themeColor="text1"/>
          <w:szCs w:val="32"/>
          <w14:textFill>
            <w14:solidFill>
              <w14:schemeClr w14:val="tx1"/>
            </w14:solidFill>
          </w14:textFill>
        </w:rPr>
        <w:t>聘任和签约</w:t>
      </w:r>
      <w:bookmarkEnd w:id="3"/>
    </w:p>
    <w:p>
      <w:pPr>
        <w:overflowPunct w:val="0"/>
        <w:ind w:firstLine="63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1.</w:t>
      </w:r>
      <w:r>
        <w:rPr>
          <w:rFonts w:hint="eastAsia"/>
        </w:rPr>
        <w:t>艾特斯公司</w:t>
      </w:r>
      <w:r>
        <w:rPr>
          <w:color w:val="000000" w:themeColor="text1"/>
          <w:szCs w:val="32"/>
          <w14:textFill>
            <w14:solidFill>
              <w14:schemeClr w14:val="tx1"/>
            </w14:solidFill>
          </w14:textFill>
        </w:rPr>
        <w:t>对拟聘任人选进行任前公示。</w:t>
      </w:r>
    </w:p>
    <w:p>
      <w:pPr>
        <w:overflowPunct w:val="0"/>
        <w:ind w:firstLine="63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2.公示结束后，如无反映意见或反映意见经调查核实证明不属实、不影响使用的，子企业与市场化选聘的职业经理人签订劳动合同。</w:t>
      </w:r>
    </w:p>
    <w:p>
      <w:pPr>
        <w:overflowPunct w:val="0"/>
        <w:ind w:firstLine="632"/>
        <w:rPr>
          <w:color w:val="000000" w:themeColor="text1"/>
          <w:szCs w:val="32"/>
          <w14:textFill>
            <w14:solidFill>
              <w14:schemeClr w14:val="tx1"/>
            </w14:solidFill>
          </w14:textFill>
        </w:rPr>
      </w:pPr>
      <w:r>
        <w:rPr>
          <w:color w:val="000000" w:themeColor="text1"/>
          <w:szCs w:val="32"/>
          <w14:textFill>
            <w14:solidFill>
              <w14:schemeClr w14:val="tx1"/>
            </w14:solidFill>
          </w14:textFill>
        </w:rPr>
        <w:t>3.子企业董事会与职业经理人签订岗位聘任协议书与经营业绩责任书。</w:t>
      </w:r>
    </w:p>
    <w:p>
      <w:pPr>
        <w:adjustRightInd w:val="0"/>
        <w:snapToGrid w:val="0"/>
        <w:spacing w:line="360" w:lineRule="auto"/>
        <w:ind w:firstLine="640" w:firstLineChars="0"/>
        <w:rPr>
          <w:rFonts w:ascii="仿宋_GB2312" w:hAnsi="仿宋"/>
          <w:szCs w:val="32"/>
        </w:rPr>
      </w:pPr>
      <w:r>
        <w:rPr>
          <w:rFonts w:hint="eastAsia" w:ascii="仿宋_GB2312" w:hAnsi="仿宋"/>
          <w:szCs w:val="32"/>
        </w:rPr>
        <w:t>每个阶段的具体实施时间、地点等情况，将以适当方式提前告知。</w:t>
      </w:r>
    </w:p>
    <w:p>
      <w:pPr>
        <w:numPr>
          <w:ilvl w:val="0"/>
          <w:numId w:val="2"/>
        </w:numPr>
        <w:ind w:firstLine="632" w:firstLineChars="0"/>
        <w:rPr>
          <w:rFonts w:hAnsi="黑体" w:eastAsia="黑体"/>
          <w:szCs w:val="32"/>
        </w:rPr>
      </w:pPr>
      <w:r>
        <w:rPr>
          <w:rFonts w:hint="eastAsia" w:hAnsi="黑体" w:eastAsia="黑体"/>
          <w:szCs w:val="32"/>
        </w:rPr>
        <w:t>报名时间、方式及相关要求</w:t>
      </w:r>
    </w:p>
    <w:p>
      <w:pPr>
        <w:adjustRightInd w:val="0"/>
        <w:snapToGrid w:val="0"/>
        <w:spacing w:line="360" w:lineRule="auto"/>
        <w:ind w:firstLine="640" w:firstLineChars="0"/>
        <w:rPr>
          <w:rFonts w:ascii="仿宋_GB2312" w:hAnsi="仿宋"/>
          <w:szCs w:val="32"/>
        </w:rPr>
      </w:pPr>
      <w:r>
        <w:rPr>
          <w:rFonts w:hint="eastAsia" w:ascii="仿宋_GB2312" w:hAnsi="仿宋"/>
          <w:szCs w:val="32"/>
        </w:rPr>
        <w:t>（一）报名时间</w:t>
      </w:r>
    </w:p>
    <w:p>
      <w:pPr>
        <w:adjustRightInd w:val="0"/>
        <w:snapToGrid w:val="0"/>
        <w:spacing w:line="360" w:lineRule="auto"/>
        <w:ind w:firstLine="640" w:firstLineChars="0"/>
        <w:rPr>
          <w:rFonts w:ascii="仿宋_GB2312" w:hAnsi="仿宋"/>
          <w:szCs w:val="32"/>
          <w:highlight w:val="none"/>
        </w:rPr>
      </w:pPr>
      <w:r>
        <w:rPr>
          <w:rFonts w:hint="eastAsia" w:ascii="仿宋_GB2312" w:hAnsi="仿宋"/>
          <w:szCs w:val="32"/>
        </w:rPr>
        <w:t>1</w:t>
      </w:r>
      <w:r>
        <w:rPr>
          <w:rFonts w:hint="eastAsia"/>
          <w:color w:val="000000" w:themeColor="text1"/>
          <w:szCs w:val="32"/>
          <w14:textFill>
            <w14:solidFill>
              <w14:schemeClr w14:val="tx1"/>
            </w14:solidFill>
          </w14:textFill>
        </w:rPr>
        <w:t>.总</w:t>
      </w:r>
      <w:r>
        <w:rPr>
          <w:rFonts w:hint="eastAsia" w:ascii="仿宋_GB2312" w:hAnsi="仿宋"/>
          <w:szCs w:val="32"/>
        </w:rPr>
        <w:t>经理岗位：报名时间</w:t>
      </w:r>
      <w:bookmarkStart w:id="4" w:name="_Hlk166333855"/>
      <w:r>
        <w:rPr>
          <w:rFonts w:hint="eastAsia" w:ascii="仿宋_GB2312" w:hAnsi="仿宋"/>
          <w:szCs w:val="32"/>
          <w:highlight w:val="none"/>
        </w:rPr>
        <w:t>截止于</w:t>
      </w:r>
      <w:bookmarkEnd w:id="4"/>
      <w:r>
        <w:rPr>
          <w:rFonts w:hint="eastAsia"/>
          <w:color w:val="000000" w:themeColor="text1"/>
          <w:szCs w:val="32"/>
          <w:highlight w:val="none"/>
          <w14:textFill>
            <w14:solidFill>
              <w14:schemeClr w14:val="tx1"/>
            </w14:solidFill>
          </w14:textFill>
        </w:rPr>
        <w:t>2024</w:t>
      </w:r>
      <w:r>
        <w:rPr>
          <w:rFonts w:hint="eastAsia" w:ascii="仿宋_GB2312" w:hAnsi="仿宋"/>
          <w:szCs w:val="32"/>
          <w:highlight w:val="none"/>
        </w:rPr>
        <w:t>年</w:t>
      </w:r>
      <w:r>
        <w:rPr>
          <w:rFonts w:hint="eastAsia"/>
          <w:color w:val="000000" w:themeColor="text1"/>
          <w:szCs w:val="32"/>
          <w:highlight w:val="none"/>
          <w14:textFill>
            <w14:solidFill>
              <w14:schemeClr w14:val="tx1"/>
            </w14:solidFill>
          </w14:textFill>
        </w:rPr>
        <w:t>6</w:t>
      </w:r>
      <w:r>
        <w:rPr>
          <w:rFonts w:hint="eastAsia" w:ascii="仿宋_GB2312" w:hAnsi="仿宋"/>
          <w:szCs w:val="32"/>
          <w:highlight w:val="none"/>
        </w:rPr>
        <w:t>月</w:t>
      </w:r>
      <w:r>
        <w:rPr>
          <w:rFonts w:hint="eastAsia"/>
          <w:color w:val="000000" w:themeColor="text1"/>
          <w:szCs w:val="32"/>
          <w:highlight w:val="none"/>
          <w14:textFill>
            <w14:solidFill>
              <w14:schemeClr w14:val="tx1"/>
            </w14:solidFill>
          </w14:textFill>
        </w:rPr>
        <w:t>2</w:t>
      </w:r>
      <w:r>
        <w:rPr>
          <w:rFonts w:hint="eastAsia" w:ascii="仿宋_GB2312" w:hAnsi="仿宋"/>
          <w:szCs w:val="32"/>
          <w:highlight w:val="none"/>
        </w:rPr>
        <w:t>日</w:t>
      </w:r>
      <w:r>
        <w:rPr>
          <w:rFonts w:hint="eastAsia"/>
          <w:color w:val="000000" w:themeColor="text1"/>
          <w:szCs w:val="32"/>
          <w:highlight w:val="none"/>
          <w14:textFill>
            <w14:solidFill>
              <w14:schemeClr w14:val="tx1"/>
            </w14:solidFill>
          </w14:textFill>
        </w:rPr>
        <w:t>18：00</w:t>
      </w:r>
      <w:r>
        <w:rPr>
          <w:rFonts w:hint="eastAsia" w:ascii="仿宋_GB2312" w:hAnsi="仿宋"/>
          <w:szCs w:val="32"/>
          <w:highlight w:val="none"/>
        </w:rPr>
        <w:t>前，逾期不再受理。</w:t>
      </w:r>
    </w:p>
    <w:p>
      <w:pPr>
        <w:adjustRightInd w:val="0"/>
        <w:snapToGrid w:val="0"/>
        <w:spacing w:line="360" w:lineRule="auto"/>
        <w:ind w:firstLine="640" w:firstLineChars="0"/>
        <w:rPr>
          <w:rFonts w:ascii="仿宋_GB2312" w:hAnsi="仿宋"/>
          <w:szCs w:val="32"/>
          <w:highlight w:val="none"/>
        </w:rPr>
      </w:pPr>
      <w:r>
        <w:rPr>
          <w:rFonts w:hint="eastAsia" w:ascii="仿宋_GB2312" w:hAnsi="仿宋"/>
          <w:szCs w:val="32"/>
          <w:highlight w:val="none"/>
        </w:rPr>
        <w:t>2</w:t>
      </w:r>
      <w:r>
        <w:rPr>
          <w:rFonts w:hint="eastAsia"/>
          <w:color w:val="000000" w:themeColor="text1"/>
          <w:szCs w:val="32"/>
          <w:highlight w:val="none"/>
          <w14:textFill>
            <w14:solidFill>
              <w14:schemeClr w14:val="tx1"/>
            </w14:solidFill>
          </w14:textFill>
        </w:rPr>
        <w:t>.副总经</w:t>
      </w:r>
      <w:r>
        <w:rPr>
          <w:rFonts w:hint="eastAsia" w:ascii="仿宋_GB2312" w:hAnsi="仿宋"/>
          <w:szCs w:val="32"/>
          <w:highlight w:val="none"/>
        </w:rPr>
        <w:t>理岗位：报名时间截止于</w:t>
      </w:r>
      <w:r>
        <w:rPr>
          <w:rFonts w:hint="eastAsia"/>
          <w:color w:val="000000" w:themeColor="text1"/>
          <w:szCs w:val="32"/>
          <w:highlight w:val="none"/>
          <w14:textFill>
            <w14:solidFill>
              <w14:schemeClr w14:val="tx1"/>
            </w14:solidFill>
          </w14:textFill>
        </w:rPr>
        <w:t>2024</w:t>
      </w:r>
      <w:r>
        <w:rPr>
          <w:rFonts w:hint="eastAsia" w:ascii="仿宋_GB2312" w:hAnsi="仿宋"/>
          <w:szCs w:val="32"/>
          <w:highlight w:val="none"/>
        </w:rPr>
        <w:t>年</w:t>
      </w:r>
      <w:r>
        <w:rPr>
          <w:rFonts w:hint="eastAsia"/>
          <w:color w:val="000000" w:themeColor="text1"/>
          <w:szCs w:val="32"/>
          <w:highlight w:val="none"/>
          <w14:textFill>
            <w14:solidFill>
              <w14:schemeClr w14:val="tx1"/>
            </w14:solidFill>
          </w14:textFill>
        </w:rPr>
        <w:t>6</w:t>
      </w:r>
      <w:r>
        <w:rPr>
          <w:rFonts w:hint="eastAsia" w:ascii="仿宋_GB2312" w:hAnsi="仿宋"/>
          <w:szCs w:val="32"/>
          <w:highlight w:val="none"/>
        </w:rPr>
        <w:t>月</w:t>
      </w:r>
      <w:r>
        <w:rPr>
          <w:rFonts w:hint="eastAsia"/>
          <w:color w:val="000000" w:themeColor="text1"/>
          <w:szCs w:val="32"/>
          <w:highlight w:val="none"/>
          <w14:textFill>
            <w14:solidFill>
              <w14:schemeClr w14:val="tx1"/>
            </w14:solidFill>
          </w14:textFill>
        </w:rPr>
        <w:t>9</w:t>
      </w:r>
      <w:r>
        <w:rPr>
          <w:rFonts w:hint="eastAsia" w:ascii="仿宋_GB2312" w:hAnsi="仿宋"/>
          <w:szCs w:val="32"/>
          <w:highlight w:val="none"/>
        </w:rPr>
        <w:t>日</w:t>
      </w:r>
      <w:r>
        <w:rPr>
          <w:rFonts w:hint="eastAsia"/>
          <w:color w:val="000000" w:themeColor="text1"/>
          <w:szCs w:val="32"/>
          <w:highlight w:val="none"/>
          <w14:textFill>
            <w14:solidFill>
              <w14:schemeClr w14:val="tx1"/>
            </w14:solidFill>
          </w14:textFill>
        </w:rPr>
        <w:t>18：00</w:t>
      </w:r>
      <w:r>
        <w:rPr>
          <w:rFonts w:hint="eastAsia" w:ascii="仿宋_GB2312" w:hAnsi="仿宋"/>
          <w:szCs w:val="32"/>
          <w:highlight w:val="none"/>
        </w:rPr>
        <w:t>前，逾期不再受理。</w:t>
      </w:r>
    </w:p>
    <w:p>
      <w:pPr>
        <w:adjustRightInd w:val="0"/>
        <w:snapToGrid w:val="0"/>
        <w:spacing w:line="360" w:lineRule="auto"/>
        <w:ind w:firstLine="640" w:firstLineChars="0"/>
        <w:rPr>
          <w:rFonts w:ascii="仿宋_GB2312" w:hAnsi="仿宋"/>
          <w:szCs w:val="32"/>
          <w:highlight w:val="none"/>
        </w:rPr>
      </w:pPr>
      <w:r>
        <w:rPr>
          <w:rFonts w:hint="eastAsia" w:ascii="仿宋_GB2312" w:hAnsi="仿宋"/>
          <w:szCs w:val="32"/>
          <w:highlight w:val="none"/>
        </w:rPr>
        <w:t>（二）报名方式</w:t>
      </w:r>
    </w:p>
    <w:p>
      <w:pPr>
        <w:adjustRightInd w:val="0"/>
        <w:snapToGrid w:val="0"/>
        <w:spacing w:line="360" w:lineRule="auto"/>
        <w:ind w:firstLine="640" w:firstLineChars="0"/>
        <w:rPr>
          <w:rFonts w:ascii="仿宋_GB2312" w:hAnsi="仿宋"/>
          <w:szCs w:val="32"/>
        </w:rPr>
      </w:pPr>
      <w:r>
        <w:rPr>
          <w:rFonts w:hint="eastAsia" w:ascii="仿宋_GB2312" w:hAnsi="仿宋"/>
          <w:szCs w:val="32"/>
          <w:highlight w:val="none"/>
        </w:rPr>
        <w:t>应聘者须在报名时间内下载《辽宁交投艾特斯技术股份有限公司子企业市场化选聘职业经理人报名表</w:t>
      </w:r>
      <w:r>
        <w:rPr>
          <w:rFonts w:ascii="仿宋_GB2312" w:hAnsi="仿宋"/>
          <w:szCs w:val="32"/>
          <w:highlight w:val="none"/>
        </w:rPr>
        <w:t>》（见附件</w:t>
      </w:r>
      <w:r>
        <w:rPr>
          <w:rFonts w:hint="eastAsia"/>
          <w:color w:val="000000" w:themeColor="text1"/>
          <w:szCs w:val="32"/>
          <w:highlight w:val="none"/>
          <w14:textFill>
            <w14:solidFill>
              <w14:schemeClr w14:val="tx1"/>
            </w14:solidFill>
          </w14:textFill>
        </w:rPr>
        <w:t>5</w:t>
      </w:r>
      <w:r>
        <w:rPr>
          <w:rFonts w:ascii="仿宋_GB2312" w:hAnsi="仿宋"/>
          <w:szCs w:val="32"/>
          <w:highlight w:val="none"/>
        </w:rPr>
        <w:t>）</w:t>
      </w:r>
      <w:r>
        <w:rPr>
          <w:rFonts w:hint="eastAsia" w:ascii="仿宋_GB2312" w:hAnsi="仿宋"/>
          <w:szCs w:val="32"/>
          <w:highlight w:val="none"/>
        </w:rPr>
        <w:t>及《辽宁交投艾特斯技术股份有限公司子企业市场化选聘职业经理人报名一览表》（见附件</w:t>
      </w:r>
      <w:r>
        <w:rPr>
          <w:rFonts w:hint="eastAsia"/>
          <w:color w:val="000000" w:themeColor="text1"/>
          <w:szCs w:val="32"/>
          <w:highlight w:val="none"/>
          <w14:textFill>
            <w14:solidFill>
              <w14:schemeClr w14:val="tx1"/>
            </w14:solidFill>
          </w14:textFill>
        </w:rPr>
        <w:t>6</w:t>
      </w:r>
      <w:r>
        <w:rPr>
          <w:rFonts w:hint="eastAsia" w:ascii="仿宋_GB2312" w:hAnsi="仿宋"/>
          <w:szCs w:val="32"/>
          <w:highlight w:val="none"/>
        </w:rPr>
        <w:t>），</w:t>
      </w:r>
      <w:r>
        <w:rPr>
          <w:szCs w:val="32"/>
          <w:highlight w:val="none"/>
        </w:rPr>
        <w:t>按要求规范</w:t>
      </w:r>
      <w:r>
        <w:rPr>
          <w:rFonts w:hint="eastAsia"/>
          <w:szCs w:val="32"/>
          <w:highlight w:val="none"/>
        </w:rPr>
        <w:t>、</w:t>
      </w:r>
      <w:r>
        <w:rPr>
          <w:szCs w:val="32"/>
          <w:highlight w:val="none"/>
        </w:rPr>
        <w:t>完整</w:t>
      </w:r>
      <w:r>
        <w:rPr>
          <w:szCs w:val="32"/>
        </w:rPr>
        <w:t>填</w:t>
      </w:r>
      <w:r>
        <w:rPr>
          <w:rFonts w:hint="eastAsia"/>
          <w:szCs w:val="32"/>
        </w:rPr>
        <w:t>写</w:t>
      </w:r>
      <w:r>
        <w:rPr>
          <w:szCs w:val="32"/>
        </w:rPr>
        <w:t>后，</w:t>
      </w:r>
      <w:r>
        <w:rPr>
          <w:rFonts w:hint="eastAsia"/>
          <w:szCs w:val="32"/>
        </w:rPr>
        <w:t>将报名表原版（word格式）、签字版（PDF格式）、一览表（excel格式）</w:t>
      </w:r>
      <w:r>
        <w:rPr>
          <w:szCs w:val="32"/>
        </w:rPr>
        <w:t>与个人相关证明材料（</w:t>
      </w:r>
      <w:r>
        <w:rPr>
          <w:rFonts w:hint="eastAsia"/>
          <w:szCs w:val="32"/>
        </w:rPr>
        <w:t>包括身份证复印件、</w:t>
      </w:r>
      <w:r>
        <w:rPr>
          <w:rFonts w:hint="eastAsia" w:ascii="仿宋_GB2312" w:hAnsi="仿宋"/>
          <w:szCs w:val="32"/>
        </w:rPr>
        <w:t>学历及学位证书扫描件、工作业绩证明、相关获奖证明等材料</w:t>
      </w:r>
      <w:r>
        <w:rPr>
          <w:szCs w:val="32"/>
        </w:rPr>
        <w:t>）一同</w:t>
      </w:r>
      <w:r>
        <w:rPr>
          <w:rFonts w:hint="eastAsia"/>
          <w:szCs w:val="32"/>
        </w:rPr>
        <w:t>打包</w:t>
      </w:r>
      <w:r>
        <w:rPr>
          <w:rFonts w:ascii="仿宋_GB2312" w:hAnsi="仿宋"/>
          <w:szCs w:val="32"/>
        </w:rPr>
        <w:t>发送到指定邮箱</w:t>
      </w:r>
      <w:r>
        <w:rPr>
          <w:b/>
          <w:bCs/>
          <w:color w:val="0000FF"/>
          <w:szCs w:val="32"/>
        </w:rPr>
        <w:t>ciictalent2024@163.com</w:t>
      </w:r>
      <w:r>
        <w:rPr>
          <w:rFonts w:hint="eastAsia" w:ascii="仿宋_GB2312" w:hAnsi="仿宋"/>
          <w:szCs w:val="32"/>
        </w:rPr>
        <w:t>，</w:t>
      </w:r>
      <w:r>
        <w:rPr>
          <w:szCs w:val="32"/>
        </w:rPr>
        <w:t>命名方式为“</w:t>
      </w:r>
      <w:r>
        <w:rPr>
          <w:rFonts w:hint="eastAsia"/>
          <w:szCs w:val="32"/>
        </w:rPr>
        <w:t>应聘公司+</w:t>
      </w:r>
      <w:r>
        <w:rPr>
          <w:szCs w:val="32"/>
        </w:rPr>
        <w:t>应聘岗位+姓名”。本次招聘工作不接受现场、电话、信函等其他方式报名。</w:t>
      </w:r>
    </w:p>
    <w:p>
      <w:pPr>
        <w:adjustRightInd w:val="0"/>
        <w:snapToGrid w:val="0"/>
        <w:spacing w:line="360" w:lineRule="auto"/>
        <w:ind w:firstLine="640" w:firstLineChars="0"/>
        <w:rPr>
          <w:rFonts w:ascii="仿宋_GB2312" w:hAnsi="仿宋"/>
          <w:szCs w:val="32"/>
        </w:rPr>
      </w:pPr>
      <w:r>
        <w:rPr>
          <w:rFonts w:hint="eastAsia" w:ascii="仿宋_GB2312" w:hAnsi="仿宋"/>
          <w:szCs w:val="32"/>
        </w:rPr>
        <w:t>（三）每人可在总经理和副总经理级各报名一个岗位，须一次性完整填报所有信息</w:t>
      </w:r>
      <w:r>
        <w:rPr>
          <w:rFonts w:ascii="仿宋_GB2312" w:hAnsi="仿宋"/>
          <w:szCs w:val="32"/>
        </w:rPr>
        <w:t>。</w:t>
      </w:r>
    </w:p>
    <w:p>
      <w:pPr>
        <w:adjustRightInd w:val="0"/>
        <w:snapToGrid w:val="0"/>
        <w:spacing w:line="360" w:lineRule="auto"/>
        <w:ind w:firstLine="640" w:firstLineChars="0"/>
        <w:rPr>
          <w:rFonts w:ascii="仿宋_GB2312" w:hAnsi="仿宋"/>
          <w:szCs w:val="32"/>
        </w:rPr>
      </w:pPr>
      <w:r>
        <w:rPr>
          <w:rFonts w:hint="eastAsia" w:ascii="仿宋_GB2312" w:hAnsi="仿宋"/>
          <w:szCs w:val="32"/>
        </w:rPr>
        <w:t>（四）对符合岗位要求并通过资格审核的应聘者，将通过电话、短信等方式通知其进入下一环节；对未进入下一环节的，不再另行通知。</w:t>
      </w:r>
    </w:p>
    <w:p>
      <w:pPr>
        <w:numPr>
          <w:ilvl w:val="0"/>
          <w:numId w:val="2"/>
        </w:numPr>
        <w:ind w:firstLine="632" w:firstLineChars="0"/>
        <w:rPr>
          <w:rFonts w:hAnsi="黑体" w:eastAsia="黑体"/>
          <w:szCs w:val="32"/>
        </w:rPr>
      </w:pPr>
      <w:r>
        <w:rPr>
          <w:rFonts w:hint="eastAsia" w:hAnsi="黑体" w:eastAsia="黑体"/>
          <w:szCs w:val="32"/>
        </w:rPr>
        <w:t>注意事项</w:t>
      </w:r>
    </w:p>
    <w:p>
      <w:pPr>
        <w:adjustRightInd w:val="0"/>
        <w:snapToGrid w:val="0"/>
        <w:spacing w:line="360" w:lineRule="auto"/>
        <w:ind w:firstLine="640" w:firstLineChars="0"/>
        <w:rPr>
          <w:rFonts w:ascii="仿宋_GB2312" w:hAnsi="仿宋"/>
          <w:szCs w:val="32"/>
        </w:rPr>
      </w:pPr>
      <w:r>
        <w:rPr>
          <w:rFonts w:hint="eastAsia" w:ascii="仿宋_GB2312" w:hAnsi="仿宋"/>
          <w:szCs w:val="32"/>
        </w:rPr>
        <w:t>（一）报名实行诚信承诺制，应聘者应对所提交应聘材料的真实性、完整性负责，如发现与事实不符的，将取消应聘资格。</w:t>
      </w:r>
    </w:p>
    <w:p>
      <w:pPr>
        <w:adjustRightInd w:val="0"/>
        <w:snapToGrid w:val="0"/>
        <w:spacing w:line="360" w:lineRule="auto"/>
        <w:ind w:firstLine="640" w:firstLineChars="0"/>
        <w:rPr>
          <w:rFonts w:ascii="仿宋_GB2312" w:hAnsi="仿宋"/>
          <w:szCs w:val="32"/>
        </w:rPr>
      </w:pPr>
      <w:r>
        <w:rPr>
          <w:rFonts w:hint="eastAsia" w:ascii="仿宋_GB2312" w:hAnsi="仿宋"/>
          <w:szCs w:val="32"/>
        </w:rPr>
        <w:t>（二）应聘人员自报名至拟聘用人员公示期间，应保持所留联系方式畅通有效，如因应聘人员通信不畅而引起的信息传递问题，由应聘人员本人负责。</w:t>
      </w:r>
    </w:p>
    <w:p>
      <w:pPr>
        <w:adjustRightInd w:val="0"/>
        <w:snapToGrid w:val="0"/>
        <w:spacing w:line="360" w:lineRule="auto"/>
        <w:ind w:firstLine="640" w:firstLineChars="0"/>
        <w:rPr>
          <w:rFonts w:ascii="仿宋_GB2312" w:hAnsi="仿宋"/>
          <w:szCs w:val="32"/>
        </w:rPr>
      </w:pPr>
      <w:r>
        <w:rPr>
          <w:rFonts w:hint="eastAsia" w:ascii="仿宋_GB2312" w:hAnsi="仿宋"/>
          <w:szCs w:val="32"/>
        </w:rPr>
        <w:t>（三）因个人原因未能按时参加综合测评、体检、考察、办理有关手续等招聘环节的，视为放弃应聘资格。</w:t>
      </w:r>
    </w:p>
    <w:p>
      <w:pPr>
        <w:adjustRightInd w:val="0"/>
        <w:snapToGrid w:val="0"/>
        <w:spacing w:line="360" w:lineRule="auto"/>
        <w:ind w:firstLine="640" w:firstLineChars="0"/>
        <w:rPr>
          <w:rFonts w:ascii="仿宋_GB2312" w:hAnsi="仿宋"/>
          <w:szCs w:val="32"/>
        </w:rPr>
      </w:pPr>
      <w:r>
        <w:rPr>
          <w:rFonts w:hint="eastAsia" w:ascii="仿宋_GB2312" w:hAnsi="仿宋"/>
          <w:szCs w:val="32"/>
        </w:rPr>
        <w:t>（四）计算应聘人员年龄、工作年限等的截止时间为</w:t>
      </w:r>
      <w:r>
        <w:rPr>
          <w:rFonts w:hint="eastAsia"/>
          <w:color w:val="000000" w:themeColor="text1"/>
          <w:szCs w:val="32"/>
          <w14:textFill>
            <w14:solidFill>
              <w14:schemeClr w14:val="tx1"/>
            </w14:solidFill>
          </w14:textFill>
        </w:rPr>
        <w:t>2024</w:t>
      </w:r>
      <w:r>
        <w:rPr>
          <w:rFonts w:hint="eastAsia" w:ascii="仿宋_GB2312" w:hAnsi="仿宋"/>
          <w:szCs w:val="32"/>
        </w:rPr>
        <w:t>年</w:t>
      </w:r>
      <w:r>
        <w:rPr>
          <w:rFonts w:hint="eastAsia"/>
          <w:color w:val="000000" w:themeColor="text1"/>
          <w:szCs w:val="32"/>
          <w14:textFill>
            <w14:solidFill>
              <w14:schemeClr w14:val="tx1"/>
            </w14:solidFill>
          </w14:textFill>
        </w:rPr>
        <w:t>5</w:t>
      </w:r>
      <w:r>
        <w:rPr>
          <w:rFonts w:hint="eastAsia" w:ascii="仿宋_GB2312" w:hAnsi="仿宋"/>
          <w:szCs w:val="32"/>
        </w:rPr>
        <w:t>月</w:t>
      </w:r>
      <w:r>
        <w:rPr>
          <w:rFonts w:hint="eastAsia"/>
          <w:color w:val="000000" w:themeColor="text1"/>
          <w:szCs w:val="32"/>
          <w14:textFill>
            <w14:solidFill>
              <w14:schemeClr w14:val="tx1"/>
            </w14:solidFill>
          </w14:textFill>
        </w:rPr>
        <w:t>31</w:t>
      </w:r>
      <w:r>
        <w:rPr>
          <w:rFonts w:hint="eastAsia" w:ascii="仿宋_GB2312" w:hAnsi="仿宋"/>
          <w:szCs w:val="32"/>
        </w:rPr>
        <w:t>日。</w:t>
      </w:r>
    </w:p>
    <w:p>
      <w:pPr>
        <w:adjustRightInd w:val="0"/>
        <w:snapToGrid w:val="0"/>
        <w:spacing w:line="360" w:lineRule="auto"/>
        <w:ind w:firstLine="640" w:firstLineChars="0"/>
        <w:rPr>
          <w:rFonts w:ascii="仿宋_GB2312" w:hAnsi="仿宋"/>
          <w:szCs w:val="32"/>
        </w:rPr>
      </w:pPr>
      <w:r>
        <w:rPr>
          <w:rFonts w:hint="eastAsia" w:ascii="仿宋_GB2312" w:hAnsi="仿宋"/>
          <w:szCs w:val="32"/>
        </w:rPr>
        <w:t>（五）本着择优录取原则，在招聘过程中，如某一岗位应聘人员均未达到理想的聘用标准，招聘方有权决定取消本次该岗位的招聘。</w:t>
      </w:r>
    </w:p>
    <w:p>
      <w:pPr>
        <w:adjustRightInd w:val="0"/>
        <w:snapToGrid w:val="0"/>
        <w:spacing w:line="360" w:lineRule="auto"/>
        <w:ind w:firstLine="640" w:firstLineChars="0"/>
        <w:rPr>
          <w:rFonts w:ascii="仿宋_GB2312" w:hAnsi="仿宋"/>
          <w:szCs w:val="32"/>
        </w:rPr>
      </w:pPr>
      <w:r>
        <w:rPr>
          <w:rFonts w:hint="eastAsia" w:ascii="仿宋_GB2312" w:hAnsi="仿宋"/>
          <w:szCs w:val="32"/>
        </w:rPr>
        <w:t xml:space="preserve">（六）因体检不合格、自愿弃权、弄虚作假等被取消应聘资格及其他原因出现名额空缺的，招聘方有权决定按照综合测评结果递补拟聘人选。 </w:t>
      </w:r>
    </w:p>
    <w:p>
      <w:pPr>
        <w:adjustRightInd w:val="0"/>
        <w:snapToGrid w:val="0"/>
        <w:spacing w:line="360" w:lineRule="auto"/>
        <w:ind w:firstLine="640" w:firstLineChars="0"/>
        <w:rPr>
          <w:rFonts w:ascii="仿宋_GB2312" w:hAnsi="仿宋"/>
          <w:szCs w:val="32"/>
        </w:rPr>
      </w:pPr>
      <w:r>
        <w:rPr>
          <w:rFonts w:hint="eastAsia" w:ascii="仿宋_GB2312" w:hAnsi="仿宋"/>
          <w:szCs w:val="32"/>
        </w:rPr>
        <w:t>（七）招聘方对应聘者的应聘信息及提交的应聘材料严格保密，不做他用，报名信息统一存档保管，不再退还。报名前请认真阅读招聘公告，确认无异议后进行申报。</w:t>
      </w:r>
    </w:p>
    <w:p>
      <w:pPr>
        <w:adjustRightInd w:val="0"/>
        <w:snapToGrid w:val="0"/>
        <w:spacing w:line="360" w:lineRule="auto"/>
        <w:ind w:firstLine="640" w:firstLineChars="0"/>
        <w:rPr>
          <w:rFonts w:ascii="仿宋_GB2312" w:hAnsi="仿宋"/>
          <w:szCs w:val="32"/>
        </w:rPr>
      </w:pPr>
      <w:r>
        <w:rPr>
          <w:rFonts w:hint="eastAsia" w:ascii="仿宋_GB2312" w:hAnsi="仿宋"/>
          <w:szCs w:val="32"/>
        </w:rPr>
        <w:t>（八）招聘公告的解释权归辽宁交投艾特斯技术股份有限公司所有。</w:t>
      </w:r>
    </w:p>
    <w:p>
      <w:pPr>
        <w:adjustRightInd w:val="0"/>
        <w:snapToGrid w:val="0"/>
        <w:spacing w:after="173" w:afterLines="30" w:line="360" w:lineRule="auto"/>
        <w:ind w:firstLine="641" w:firstLineChars="0"/>
        <w:rPr>
          <w:rFonts w:ascii="仿宋_GB2312" w:hAnsi="仿宋"/>
          <w:szCs w:val="32"/>
        </w:rPr>
      </w:pPr>
      <w:r>
        <w:rPr>
          <w:rFonts w:hint="eastAsia" w:ascii="仿宋_GB2312" w:hAnsi="仿宋"/>
          <w:szCs w:val="32"/>
        </w:rPr>
        <w:t>（九）对报名有疑问的，可在工作日上班时间（</w:t>
      </w:r>
      <w:r>
        <w:rPr>
          <w:rFonts w:hint="eastAsia"/>
          <w:color w:val="000000" w:themeColor="text1"/>
          <w:szCs w:val="32"/>
          <w14:textFill>
            <w14:solidFill>
              <w14:schemeClr w14:val="tx1"/>
            </w14:solidFill>
          </w14:textFill>
        </w:rPr>
        <w:t>9:00-11:30，13:30-17:30</w:t>
      </w:r>
      <w:r>
        <w:rPr>
          <w:rFonts w:hint="eastAsia" w:ascii="仿宋_GB2312" w:hAnsi="仿宋"/>
          <w:szCs w:val="32"/>
        </w:rPr>
        <w:t>）致电咨询：李老师</w:t>
      </w:r>
      <w:r>
        <w:rPr>
          <w:rFonts w:hint="eastAsia"/>
          <w:color w:val="000000" w:themeColor="text1"/>
          <w:szCs w:val="32"/>
          <w14:textFill>
            <w14:solidFill>
              <w14:schemeClr w14:val="tx1"/>
            </w14:solidFill>
          </w14:textFill>
        </w:rPr>
        <w:t xml:space="preserve"> 010-85359884</w:t>
      </w:r>
      <w:r>
        <w:rPr>
          <w:rFonts w:hint="eastAsia" w:ascii="仿宋_GB2312" w:hAnsi="仿宋"/>
          <w:szCs w:val="32"/>
        </w:rPr>
        <w:t>。</w:t>
      </w:r>
    </w:p>
    <w:p>
      <w:pPr>
        <w:tabs>
          <w:tab w:val="right" w:pos="22109"/>
        </w:tabs>
        <w:adjustRightInd w:val="0"/>
        <w:snapToGrid w:val="0"/>
        <w:spacing w:line="560" w:lineRule="exact"/>
        <w:ind w:firstLine="4108" w:firstLineChars="1300"/>
        <w:jc w:val="left"/>
        <w:rPr>
          <w:bCs/>
          <w:szCs w:val="32"/>
          <w:lang w:bidi="en-US"/>
        </w:rPr>
      </w:pPr>
      <w:r>
        <w:rPr>
          <w:rFonts w:hint="eastAsia" w:ascii="仿宋_GB2312" w:hAnsi="仿宋"/>
          <w:szCs w:val="32"/>
        </w:rPr>
        <w:t>辽宁交投艾特斯技术股份有限公司</w:t>
      </w:r>
      <w:r>
        <w:rPr>
          <w:bCs/>
          <w:szCs w:val="32"/>
          <w:lang w:bidi="en-US"/>
        </w:rPr>
        <w:tab/>
      </w:r>
      <w:bookmarkEnd w:id="0"/>
    </w:p>
    <w:p>
      <w:pPr>
        <w:adjustRightInd w:val="0"/>
        <w:snapToGrid w:val="0"/>
        <w:spacing w:line="560" w:lineRule="exact"/>
        <w:ind w:firstLine="0" w:firstLineChars="0"/>
        <w:rPr>
          <w:bCs/>
          <w:szCs w:val="32"/>
          <w:lang w:bidi="en-US"/>
        </w:rPr>
        <w:sectPr>
          <w:headerReference r:id="rId4" w:type="first"/>
          <w:footerReference r:id="rId7" w:type="first"/>
          <w:footerReference r:id="rId5" w:type="default"/>
          <w:headerReference r:id="rId3" w:type="even"/>
          <w:footerReference r:id="rId6" w:type="even"/>
          <w:type w:val="continuous"/>
          <w:pgSz w:w="11906" w:h="16838"/>
          <w:pgMar w:top="1701" w:right="1418" w:bottom="1701" w:left="1418" w:header="0" w:footer="851" w:gutter="0"/>
          <w:pgNumType w:fmt="numberInDash" w:start="1"/>
          <w:cols w:space="0" w:num="1"/>
          <w:docGrid w:type="linesAndChars" w:linePitch="579" w:charSpace="-842"/>
        </w:sectPr>
      </w:pPr>
    </w:p>
    <w:p>
      <w:pPr>
        <w:adjustRightInd w:val="0"/>
        <w:snapToGrid w:val="0"/>
        <w:spacing w:line="560" w:lineRule="exact"/>
        <w:ind w:firstLine="0" w:firstLineChars="0"/>
        <w:rPr>
          <w:rFonts w:eastAsia="黑体"/>
          <w:bCs/>
          <w:szCs w:val="32"/>
          <w:lang w:bidi="en-US"/>
        </w:rPr>
      </w:pPr>
      <w:bookmarkStart w:id="5" w:name="_Hlk166233249"/>
      <w:r>
        <w:rPr>
          <w:rFonts w:hint="eastAsia" w:eastAsia="黑体"/>
          <w:bCs/>
          <w:szCs w:val="32"/>
          <w:lang w:bidi="en-US"/>
        </w:rPr>
        <w:t>附件1</w:t>
      </w:r>
    </w:p>
    <w:p>
      <w:pPr>
        <w:ind w:right="119" w:firstLine="0" w:firstLineChars="0"/>
        <w:jc w:val="center"/>
        <w:outlineLvl w:val="0"/>
        <w:rPr>
          <w:sz w:val="10"/>
          <w:szCs w:val="10"/>
          <w:lang w:bidi="en-US"/>
        </w:rPr>
      </w:pPr>
      <w:r>
        <w:rPr>
          <w:rFonts w:hint="eastAsia" w:eastAsia="方正小标宋简体"/>
          <w:bCs/>
          <w:sz w:val="36"/>
          <w:szCs w:val="36"/>
          <w:lang w:bidi="en-US"/>
        </w:rPr>
        <w:t>雄安公司职业经理人选拔标准</w:t>
      </w:r>
    </w:p>
    <w:bookmarkEnd w:id="5"/>
    <w:p>
      <w:pPr>
        <w:adjustRightInd w:val="0"/>
        <w:snapToGrid w:val="0"/>
        <w:spacing w:line="560" w:lineRule="exact"/>
        <w:ind w:firstLine="0" w:firstLineChars="0"/>
        <w:jc w:val="center"/>
        <w:rPr>
          <w:rFonts w:eastAsia="方正小标宋简体"/>
          <w:bCs/>
          <w:sz w:val="36"/>
          <w:szCs w:val="36"/>
          <w:lang w:bidi="en-US"/>
        </w:rPr>
      </w:pPr>
      <w:r>
        <w:rPr>
          <w:rFonts w:ascii="Calibri" w:hAnsi="Calibri" w:eastAsia="宋体"/>
          <w:sz w:val="21"/>
        </w:rPr>
        <w:drawing>
          <wp:anchor distT="0" distB="0" distL="114300" distR="114300" simplePos="0" relativeHeight="251659264" behindDoc="0" locked="0" layoutInCell="1" allowOverlap="1">
            <wp:simplePos x="0" y="0"/>
            <wp:positionH relativeFrom="margin">
              <wp:posOffset>-80645</wp:posOffset>
            </wp:positionH>
            <wp:positionV relativeFrom="paragraph">
              <wp:posOffset>86360</wp:posOffset>
            </wp:positionV>
            <wp:extent cx="9038590" cy="5141595"/>
            <wp:effectExtent l="19050" t="19050" r="10160" b="215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038590" cy="5141346"/>
                    </a:xfrm>
                    <a:prstGeom prst="rect">
                      <a:avLst/>
                    </a:prstGeom>
                    <a:noFill/>
                    <a:ln>
                      <a:solidFill>
                        <a:sysClr val="windowText" lastClr="000000"/>
                      </a:solidFill>
                    </a:ln>
                  </pic:spPr>
                </pic:pic>
              </a:graphicData>
            </a:graphic>
          </wp:anchor>
        </w:drawing>
      </w:r>
    </w:p>
    <w:p>
      <w:pPr>
        <w:adjustRightInd w:val="0"/>
        <w:snapToGrid w:val="0"/>
        <w:spacing w:line="560" w:lineRule="exact"/>
        <w:ind w:firstLine="0" w:firstLineChars="0"/>
        <w:rPr>
          <w:sz w:val="10"/>
          <w:szCs w:val="10"/>
          <w:lang w:bidi="en-US"/>
        </w:rPr>
      </w:pPr>
    </w:p>
    <w:p>
      <w:pPr>
        <w:adjustRightInd w:val="0"/>
        <w:snapToGrid w:val="0"/>
        <w:spacing w:line="560" w:lineRule="exact"/>
        <w:ind w:firstLine="0" w:firstLineChars="0"/>
        <w:rPr>
          <w:sz w:val="10"/>
          <w:szCs w:val="10"/>
          <w:lang w:bidi="en-US"/>
        </w:rPr>
        <w:sectPr>
          <w:pgSz w:w="16838" w:h="11906" w:orient="landscape"/>
          <w:pgMar w:top="1800" w:right="1440" w:bottom="1800" w:left="1440" w:header="0" w:footer="851" w:gutter="0"/>
          <w:pgNumType w:fmt="numberInDash"/>
          <w:cols w:space="0" w:num="1"/>
          <w:docGrid w:type="linesAndChars" w:linePitch="610" w:charSpace="3686"/>
        </w:sectPr>
      </w:pPr>
    </w:p>
    <w:p>
      <w:pPr>
        <w:adjustRightInd w:val="0"/>
        <w:snapToGrid w:val="0"/>
        <w:spacing w:line="560" w:lineRule="exact"/>
        <w:ind w:firstLine="0" w:firstLineChars="0"/>
        <w:rPr>
          <w:rFonts w:eastAsia="黑体"/>
          <w:bCs/>
          <w:szCs w:val="32"/>
          <w:lang w:bidi="en-US"/>
        </w:rPr>
      </w:pPr>
      <w:r>
        <w:rPr>
          <w:rFonts w:hint="eastAsia" w:eastAsia="黑体"/>
          <w:bCs/>
          <w:szCs w:val="32"/>
          <w:lang w:bidi="en-US"/>
        </w:rPr>
        <w:t>附件</w:t>
      </w:r>
      <w:r>
        <w:rPr>
          <w:rFonts w:hint="eastAsia"/>
          <w:color w:val="000000" w:themeColor="text1"/>
          <w:szCs w:val="32"/>
          <w14:textFill>
            <w14:solidFill>
              <w14:schemeClr w14:val="tx1"/>
            </w14:solidFill>
          </w14:textFill>
        </w:rPr>
        <w:t>2</w:t>
      </w:r>
    </w:p>
    <w:p>
      <w:pPr>
        <w:adjustRightInd w:val="0"/>
        <w:snapToGrid w:val="0"/>
        <w:spacing w:line="560" w:lineRule="exact"/>
        <w:ind w:firstLine="0" w:firstLineChars="0"/>
        <w:jc w:val="center"/>
        <w:outlineLvl w:val="0"/>
        <w:rPr>
          <w:rFonts w:eastAsia="方正小标宋简体"/>
          <w:bCs/>
          <w:sz w:val="36"/>
          <w:szCs w:val="36"/>
          <w:lang w:bidi="en-US"/>
        </w:rPr>
        <w:sectPr>
          <w:pgSz w:w="16838" w:h="11906" w:orient="landscape"/>
          <w:pgMar w:top="1800" w:right="1440" w:bottom="1800" w:left="1440" w:header="0" w:footer="851" w:gutter="0"/>
          <w:pgNumType w:fmt="numberInDash"/>
          <w:cols w:space="0" w:num="1"/>
          <w:docGrid w:type="linesAndChars" w:linePitch="610" w:charSpace="3686"/>
        </w:sectPr>
      </w:pPr>
      <w:r>
        <w:rPr>
          <w:rFonts w:ascii="Calibri" w:hAnsi="Calibri" w:eastAsia="宋体"/>
          <w:sz w:val="21"/>
        </w:rPr>
        <w:drawing>
          <wp:anchor distT="0" distB="0" distL="114300" distR="114300" simplePos="0" relativeHeight="251662336" behindDoc="0" locked="0" layoutInCell="1" allowOverlap="1">
            <wp:simplePos x="0" y="0"/>
            <wp:positionH relativeFrom="margin">
              <wp:posOffset>8890</wp:posOffset>
            </wp:positionH>
            <wp:positionV relativeFrom="margin">
              <wp:posOffset>796290</wp:posOffset>
            </wp:positionV>
            <wp:extent cx="9039860" cy="5140960"/>
            <wp:effectExtent l="9525" t="9525" r="18415" b="18415"/>
            <wp:wrapNone/>
            <wp:docPr id="1147521782" name="图片 1"/>
            <wp:cNvGraphicFramePr/>
            <a:graphic xmlns:a="http://schemas.openxmlformats.org/drawingml/2006/main">
              <a:graphicData uri="http://schemas.openxmlformats.org/drawingml/2006/picture">
                <pic:pic xmlns:pic="http://schemas.openxmlformats.org/drawingml/2006/picture">
                  <pic:nvPicPr>
                    <pic:cNvPr id="1147521782" name="图片 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039860" cy="5140960"/>
                    </a:xfrm>
                    <a:prstGeom prst="rect">
                      <a:avLst/>
                    </a:prstGeom>
                    <a:noFill/>
                    <a:ln>
                      <a:solidFill>
                        <a:sysClr val="windowText" lastClr="000000"/>
                      </a:solidFill>
                    </a:ln>
                  </pic:spPr>
                </pic:pic>
              </a:graphicData>
            </a:graphic>
          </wp:anchor>
        </w:drawing>
      </w:r>
      <w:r>
        <w:rPr>
          <w:rFonts w:hint="eastAsia" w:eastAsia="方正小标宋简体"/>
          <w:bCs/>
          <w:sz w:val="36"/>
          <w:szCs w:val="36"/>
          <w:lang w:bidi="en-US"/>
        </w:rPr>
        <w:t>信息公司职业经理人选拔标准</w:t>
      </w:r>
    </w:p>
    <w:p>
      <w:pPr>
        <w:adjustRightInd w:val="0"/>
        <w:snapToGrid w:val="0"/>
        <w:spacing w:line="560" w:lineRule="exact"/>
        <w:ind w:firstLine="0" w:firstLineChars="0"/>
        <w:rPr>
          <w:rFonts w:eastAsia="黑体"/>
          <w:bCs/>
          <w:szCs w:val="32"/>
          <w:lang w:bidi="en-US"/>
        </w:rPr>
      </w:pPr>
      <w:r>
        <w:rPr>
          <w:rFonts w:hint="eastAsia" w:eastAsia="黑体"/>
          <w:bCs/>
          <w:szCs w:val="32"/>
          <w:lang w:bidi="en-US"/>
        </w:rPr>
        <w:t>附件</w:t>
      </w:r>
      <w:r>
        <w:rPr>
          <w:rFonts w:hint="eastAsia"/>
          <w:color w:val="000000" w:themeColor="text1"/>
          <w:szCs w:val="32"/>
          <w14:textFill>
            <w14:solidFill>
              <w14:schemeClr w14:val="tx1"/>
            </w14:solidFill>
          </w14:textFill>
        </w:rPr>
        <w:t>3</w:t>
      </w:r>
    </w:p>
    <w:p>
      <w:pPr>
        <w:adjustRightInd w:val="0"/>
        <w:snapToGrid w:val="0"/>
        <w:spacing w:after="305" w:afterLines="50" w:line="560" w:lineRule="exact"/>
        <w:ind w:firstLine="0" w:firstLineChars="0"/>
        <w:jc w:val="center"/>
        <w:outlineLvl w:val="0"/>
        <w:rPr>
          <w:rFonts w:eastAsia="方正小标宋简体"/>
          <w:bCs/>
          <w:sz w:val="36"/>
          <w:szCs w:val="36"/>
          <w:lang w:bidi="en-US"/>
        </w:rPr>
      </w:pPr>
      <w:r>
        <w:rPr>
          <w:rFonts w:hint="eastAsia" w:eastAsia="方正小标宋简体"/>
          <w:bCs/>
          <w:sz w:val="36"/>
          <w:szCs w:val="36"/>
          <w:lang w:bidi="en-US"/>
        </w:rPr>
        <w:t>雄安公司职业经理人契约化管理方案</w:t>
      </w:r>
    </w:p>
    <w:p>
      <w:pPr>
        <w:overflowPunct w:val="0"/>
        <w:ind w:firstLine="676"/>
        <w:outlineLvl w:val="1"/>
        <w:rPr>
          <w:rFonts w:eastAsia="黑体"/>
          <w:color w:val="000000"/>
          <w:szCs w:val="36"/>
        </w:rPr>
      </w:pPr>
      <w:r>
        <w:rPr>
          <w:rFonts w:hint="eastAsia" w:eastAsia="黑体"/>
          <w:color w:val="000000"/>
          <w:szCs w:val="36"/>
        </w:rPr>
        <w:t>一</w:t>
      </w:r>
      <w:r>
        <w:rPr>
          <w:rFonts w:eastAsia="黑体"/>
          <w:color w:val="000000"/>
          <w:szCs w:val="36"/>
        </w:rPr>
        <w:t>、</w:t>
      </w:r>
      <w:r>
        <w:rPr>
          <w:rFonts w:hint="eastAsia" w:eastAsia="黑体"/>
          <w:color w:val="000000"/>
          <w:szCs w:val="36"/>
        </w:rPr>
        <w:t>聘任期限</w:t>
      </w:r>
    </w:p>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（一）</w:t>
      </w:r>
      <w:r>
        <w:rPr>
          <w:rFonts w:hint="eastAsia" w:ascii="Times New Roman" w:hAnsi="Times New Roman" w:eastAsia="楷体_GB2312" w:cs="Times New Roman"/>
          <w:bCs w:val="0"/>
          <w:color w:val="000000" w:themeColor="text1"/>
          <w14:textFill>
            <w14:solidFill>
              <w14:schemeClr w14:val="tx1"/>
            </w14:solidFill>
          </w14:textFill>
        </w:rPr>
        <w:t>任期期限</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职业经理人任期期限由子企业董事会确定，每届任期不超过3年，聘任期限原则上与劳动合同期限保持一致。职业经理人首届任期为自起聘任之日至2026年12月31日</w:t>
      </w:r>
      <w:r>
        <w:rPr>
          <w:rFonts w:hint="eastAsia"/>
          <w:color w:val="000000" w:themeColor="text1"/>
          <w:szCs w:val="32"/>
          <w14:textFill>
            <w14:solidFill>
              <w14:schemeClr w14:val="tx1"/>
            </w14:solidFill>
          </w14:textFill>
        </w:rPr>
        <w:t>。</w:t>
      </w:r>
    </w:p>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w:t>
      </w:r>
      <w:r>
        <w:rPr>
          <w:rFonts w:hint="eastAsia" w:ascii="Times New Roman" w:hAnsi="Times New Roman" w:eastAsia="楷体_GB2312" w:cs="Times New Roman"/>
          <w:bCs w:val="0"/>
          <w:color w:val="000000" w:themeColor="text1"/>
          <w14:textFill>
            <w14:solidFill>
              <w14:schemeClr w14:val="tx1"/>
            </w14:solidFill>
          </w14:textFill>
        </w:rPr>
        <w:t>二</w:t>
      </w:r>
      <w:r>
        <w:rPr>
          <w:rFonts w:ascii="Times New Roman" w:hAnsi="Times New Roman" w:eastAsia="楷体_GB2312" w:cs="Times New Roman"/>
          <w:bCs w:val="0"/>
          <w:color w:val="000000" w:themeColor="text1"/>
          <w14:textFill>
            <w14:solidFill>
              <w14:schemeClr w14:val="tx1"/>
            </w14:solidFill>
          </w14:textFill>
        </w:rPr>
        <w:t>）</w:t>
      </w:r>
      <w:r>
        <w:rPr>
          <w:rFonts w:hint="eastAsia" w:ascii="Times New Roman" w:hAnsi="Times New Roman" w:eastAsia="楷体_GB2312" w:cs="Times New Roman"/>
          <w:bCs w:val="0"/>
          <w:color w:val="000000" w:themeColor="text1"/>
          <w14:textFill>
            <w14:solidFill>
              <w14:schemeClr w14:val="tx1"/>
            </w14:solidFill>
          </w14:textFill>
        </w:rPr>
        <w:t>到期重聘</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市场化选聘职业经理人任期期满后，聘任关系自然解除，职业经理人须再次开展市场化选聘，选聘成功后，重新履行聘任手续，方可签订岗位聘任协议。未能续聘的，自然免职（解聘），如有党组织职务、董事会职务，原则上应一并免去。</w:t>
      </w:r>
    </w:p>
    <w:p>
      <w:pPr>
        <w:overflowPunct w:val="0"/>
        <w:ind w:firstLine="676"/>
        <w:outlineLvl w:val="1"/>
        <w:rPr>
          <w:rFonts w:eastAsia="黑体"/>
          <w:color w:val="000000"/>
          <w:szCs w:val="36"/>
        </w:rPr>
      </w:pPr>
      <w:r>
        <w:rPr>
          <w:rFonts w:hint="eastAsia" w:eastAsia="黑体"/>
          <w:color w:val="000000"/>
          <w:szCs w:val="36"/>
        </w:rPr>
        <w:t>二、绩效目标及考核</w:t>
      </w:r>
    </w:p>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w:t>
      </w:r>
      <w:r>
        <w:rPr>
          <w:rFonts w:hint="eastAsia" w:ascii="Times New Roman" w:hAnsi="Times New Roman" w:eastAsia="楷体_GB2312" w:cs="Times New Roman"/>
          <w:bCs w:val="0"/>
          <w:color w:val="000000" w:themeColor="text1"/>
          <w14:textFill>
            <w14:solidFill>
              <w14:schemeClr w14:val="tx1"/>
            </w14:solidFill>
          </w14:textFill>
        </w:rPr>
        <w:t>一</w:t>
      </w:r>
      <w:r>
        <w:rPr>
          <w:rFonts w:ascii="Times New Roman" w:hAnsi="Times New Roman" w:eastAsia="楷体_GB2312" w:cs="Times New Roman"/>
          <w:bCs w:val="0"/>
          <w:color w:val="000000" w:themeColor="text1"/>
          <w14:textFill>
            <w14:solidFill>
              <w14:schemeClr w14:val="tx1"/>
            </w14:solidFill>
          </w14:textFill>
        </w:rPr>
        <w:t>）考核内容</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考核评价内容主要包括综合考核评价和经营业绩考核评价，实行</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双达标</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机制：</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1.综合考核评价：反映职业经理人的行为与</w:t>
      </w:r>
      <w:r>
        <w:rPr>
          <w:rFonts w:hint="eastAsia"/>
          <w:color w:val="000000" w:themeColor="text1"/>
          <w:szCs w:val="32"/>
          <w14:textFill>
            <w14:solidFill>
              <w14:schemeClr w14:val="tx1"/>
            </w14:solidFill>
          </w14:textFill>
        </w:rPr>
        <w:t>雄安</w:t>
      </w:r>
      <w:r>
        <w:rPr>
          <w:color w:val="000000" w:themeColor="text1"/>
          <w:szCs w:val="32"/>
          <w14:textFill>
            <w14:solidFill>
              <w14:schemeClr w14:val="tx1"/>
            </w14:solidFill>
          </w14:textFill>
        </w:rPr>
        <w:t>公司岗位要求、组织文化要求符合状况以及个人能力素质表现的评价指标，关注职业经理人政治素质、职业素养、业务能力、廉洁从业等方面。</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2.经营业绩考核：对职业经理人实施试用期、年度和任期经营业绩考核，围绕</w:t>
      </w:r>
      <w:r>
        <w:rPr>
          <w:rFonts w:hint="eastAsia"/>
          <w:color w:val="000000" w:themeColor="text1"/>
          <w:szCs w:val="32"/>
          <w14:textFill>
            <w14:solidFill>
              <w14:schemeClr w14:val="tx1"/>
            </w14:solidFill>
          </w14:textFill>
        </w:rPr>
        <w:t>雄安</w:t>
      </w:r>
      <w:r>
        <w:rPr>
          <w:color w:val="000000" w:themeColor="text1"/>
          <w:szCs w:val="32"/>
          <w14:textFill>
            <w14:solidFill>
              <w14:schemeClr w14:val="tx1"/>
            </w14:solidFill>
          </w14:textFill>
        </w:rPr>
        <w:t>公司未来战略发展规划目标要求，分解至任期内各年度，形成以战略为牵引，年度和任期考核内容及指标适当区分、有效衔接的短中长期相结合的考核机制。根据岗位职责和工作分工，确定每位职业经理人的考核内容及指标。</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3.对兼任董事会职务和具有中共党员身份的职业经理人，基于岗位职责，开展董事履职和党建与党风廉政建设考核。</w:t>
      </w:r>
    </w:p>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w:t>
      </w:r>
      <w:r>
        <w:rPr>
          <w:rFonts w:hint="eastAsia" w:ascii="Times New Roman" w:hAnsi="Times New Roman" w:eastAsia="楷体_GB2312" w:cs="Times New Roman"/>
          <w:bCs w:val="0"/>
          <w:color w:val="000000" w:themeColor="text1"/>
          <w14:textFill>
            <w14:solidFill>
              <w14:schemeClr w14:val="tx1"/>
            </w14:solidFill>
          </w14:textFill>
        </w:rPr>
        <w:t>二</w:t>
      </w:r>
      <w:r>
        <w:rPr>
          <w:rFonts w:ascii="Times New Roman" w:hAnsi="Times New Roman" w:eastAsia="楷体_GB2312" w:cs="Times New Roman"/>
          <w:bCs w:val="0"/>
          <w:color w:val="000000" w:themeColor="text1"/>
          <w14:textFill>
            <w14:solidFill>
              <w14:schemeClr w14:val="tx1"/>
            </w14:solidFill>
          </w14:textFill>
        </w:rPr>
        <w:t>）经营业绩考核</w:t>
      </w:r>
    </w:p>
    <w:p>
      <w:pPr>
        <w:keepNext/>
        <w:keepLines/>
        <w:tabs>
          <w:tab w:val="left" w:pos="1276"/>
          <w:tab w:val="left" w:pos="1560"/>
        </w:tabs>
        <w:overflowPunct w:val="0"/>
        <w:ind w:firstLine="676"/>
        <w:outlineLvl w:val="3"/>
        <w:rPr>
          <w:color w:val="000000"/>
          <w:szCs w:val="32"/>
        </w:rPr>
      </w:pPr>
      <w:r>
        <w:rPr>
          <w:color w:val="000000"/>
          <w:szCs w:val="32"/>
        </w:rPr>
        <w:t>1.试用期考核</w:t>
      </w:r>
    </w:p>
    <w:p>
      <w:pPr>
        <w:overflowPunct w:val="0"/>
        <w:ind w:firstLine="676"/>
        <w:rPr>
          <w:color w:val="000000"/>
          <w:kern w:val="0"/>
          <w:szCs w:val="32"/>
        </w:rPr>
      </w:pPr>
      <w:r>
        <w:rPr>
          <w:color w:val="000000"/>
          <w:kern w:val="0"/>
          <w:szCs w:val="32"/>
        </w:rPr>
        <w:t>在职业经理人试用期到期后，按照管理权限，由</w:t>
      </w:r>
      <w:r>
        <w:rPr>
          <w:rFonts w:hint="eastAsia"/>
        </w:rPr>
        <w:t>艾特斯公司</w:t>
      </w:r>
      <w:r>
        <w:rPr>
          <w:color w:val="000000"/>
          <w:kern w:val="0"/>
          <w:szCs w:val="32"/>
        </w:rPr>
        <w:t>组织开展试用期考核</w:t>
      </w:r>
      <w:r>
        <w:rPr>
          <w:rFonts w:hint="eastAsia"/>
          <w:color w:val="000000"/>
          <w:kern w:val="0"/>
          <w:szCs w:val="32"/>
        </w:rPr>
        <w:t>，</w:t>
      </w:r>
      <w:r>
        <w:rPr>
          <w:color w:val="000000"/>
          <w:kern w:val="0"/>
          <w:szCs w:val="32"/>
        </w:rPr>
        <w:t>试用期考核主要为管理效能评价。</w:t>
      </w:r>
    </w:p>
    <w:p>
      <w:pPr>
        <w:keepNext/>
        <w:keepLines/>
        <w:tabs>
          <w:tab w:val="left" w:pos="1276"/>
          <w:tab w:val="left" w:pos="1560"/>
        </w:tabs>
        <w:overflowPunct w:val="0"/>
        <w:ind w:firstLine="676"/>
        <w:outlineLvl w:val="3"/>
        <w:rPr>
          <w:color w:val="000000"/>
          <w:szCs w:val="32"/>
        </w:rPr>
      </w:pPr>
      <w:r>
        <w:rPr>
          <w:color w:val="000000"/>
          <w:szCs w:val="32"/>
        </w:rPr>
        <w:t>2.年度经营业绩考核</w:t>
      </w:r>
    </w:p>
    <w:p>
      <w:pPr>
        <w:overflowPunct w:val="0"/>
        <w:ind w:firstLine="676"/>
        <w:rPr>
          <w:color w:val="000000"/>
          <w:kern w:val="0"/>
          <w:szCs w:val="32"/>
        </w:rPr>
      </w:pPr>
      <w:r>
        <w:rPr>
          <w:color w:val="000000"/>
          <w:kern w:val="0"/>
          <w:szCs w:val="32"/>
        </w:rPr>
        <w:t>年度经营业绩考核以年度为周期进行考核，在次年年初进行。年度经营业绩考核聚焦价值导向、突出重点，一人一策差异化设置考核指标。</w:t>
      </w:r>
    </w:p>
    <w:p>
      <w:pPr>
        <w:overflowPunct w:val="0"/>
        <w:ind w:firstLine="676"/>
        <w:rPr>
          <w:color w:val="000000"/>
          <w:kern w:val="0"/>
          <w:szCs w:val="32"/>
        </w:rPr>
      </w:pPr>
      <w:r>
        <w:rPr>
          <w:color w:val="000000"/>
          <w:kern w:val="0"/>
          <w:szCs w:val="32"/>
        </w:rPr>
        <w:t>（1）总经理：主要考核</w:t>
      </w:r>
      <w:r>
        <w:rPr>
          <w:rFonts w:hint="eastAsia"/>
          <w:color w:val="000000"/>
          <w:kern w:val="0"/>
          <w:szCs w:val="32"/>
        </w:rPr>
        <w:t>雄安</w:t>
      </w:r>
      <w:r>
        <w:rPr>
          <w:color w:val="000000"/>
          <w:kern w:val="0"/>
          <w:szCs w:val="32"/>
        </w:rPr>
        <w:t>公司整体经营业绩完成情况。雄安公司总经理考核维度包括经营业绩指标、管理发展指标，分别占比70%，30%</w:t>
      </w:r>
      <w:bookmarkStart w:id="6" w:name="_Hlk150164201"/>
      <w:r>
        <w:rPr>
          <w:color w:val="000000"/>
          <w:kern w:val="0"/>
          <w:szCs w:val="32"/>
        </w:rPr>
        <w:t>；总经理经营业绩考核目标值在艾特斯</w:t>
      </w:r>
      <w:r>
        <w:rPr>
          <w:rFonts w:hint="eastAsia"/>
          <w:color w:val="000000"/>
          <w:kern w:val="0"/>
          <w:szCs w:val="32"/>
        </w:rPr>
        <w:t>公司</w:t>
      </w:r>
      <w:r>
        <w:rPr>
          <w:color w:val="000000"/>
          <w:kern w:val="0"/>
          <w:szCs w:val="32"/>
        </w:rPr>
        <w:t>对子企业董事会考核目标值上浮不少于10%确定。</w:t>
      </w:r>
    </w:p>
    <w:bookmarkEnd w:id="6"/>
    <w:p>
      <w:pPr>
        <w:overflowPunct w:val="0"/>
        <w:spacing w:after="200" w:line="560" w:lineRule="exact"/>
        <w:ind w:firstLine="482" w:firstLineChars="0"/>
        <w:jc w:val="center"/>
        <w:rPr>
          <w:rFonts w:eastAsia="楷体_GB2312"/>
          <w:b/>
          <w:bCs/>
          <w:color w:val="000000"/>
          <w:kern w:val="0"/>
          <w:sz w:val="30"/>
          <w:szCs w:val="30"/>
        </w:rPr>
      </w:pPr>
      <w:r>
        <w:rPr>
          <w:rFonts w:eastAsia="楷体_GB2312"/>
          <w:b/>
          <w:bCs/>
          <w:color w:val="000000"/>
          <w:kern w:val="0"/>
          <w:sz w:val="30"/>
          <w:szCs w:val="30"/>
        </w:rPr>
        <w:t>表</w:t>
      </w:r>
      <w:r>
        <w:rPr>
          <w:rFonts w:hint="eastAsia" w:eastAsia="楷体_GB2312"/>
          <w:b/>
          <w:bCs/>
          <w:color w:val="000000"/>
          <w:kern w:val="0"/>
          <w:sz w:val="30"/>
          <w:szCs w:val="30"/>
        </w:rPr>
        <w:t>1</w:t>
      </w:r>
      <w:r>
        <w:rPr>
          <w:rFonts w:eastAsia="楷体_GB2312"/>
          <w:b/>
          <w:bCs/>
          <w:color w:val="000000"/>
          <w:kern w:val="0"/>
          <w:sz w:val="30"/>
          <w:szCs w:val="30"/>
        </w:rPr>
        <w:t>：雄安公司总经理年度经营业绩模式</w:t>
      </w:r>
    </w:p>
    <w:tbl>
      <w:tblPr>
        <w:tblStyle w:val="23"/>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423"/>
        <w:gridCol w:w="4109"/>
        <w:gridCol w:w="19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blHeader/>
          <w:jc w:val="center"/>
        </w:trPr>
        <w:tc>
          <w:tcPr>
            <w:tcW w:w="562" w:type="dxa"/>
            <w:vMerge w:val="restart"/>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序号</w:t>
            </w:r>
          </w:p>
        </w:tc>
        <w:tc>
          <w:tcPr>
            <w:tcW w:w="8912" w:type="dxa"/>
            <w:gridSpan w:val="4"/>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雄安公司总经理考核模式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blHeader/>
          <w:jc w:val="center"/>
        </w:trPr>
        <w:tc>
          <w:tcPr>
            <w:tcW w:w="562" w:type="dxa"/>
            <w:vMerge w:val="continue"/>
            <w:shd w:val="clear" w:color="auto" w:fill="BDD6EE"/>
            <w:vAlign w:val="center"/>
          </w:tcPr>
          <w:p>
            <w:pPr>
              <w:overflowPunct w:val="0"/>
              <w:snapToGrid w:val="0"/>
              <w:ind w:firstLine="0" w:firstLineChars="0"/>
              <w:jc w:val="center"/>
              <w:rPr>
                <w:b/>
                <w:bCs/>
                <w:color w:val="000000"/>
                <w:kern w:val="0"/>
                <w:sz w:val="24"/>
              </w:rPr>
            </w:pPr>
          </w:p>
        </w:tc>
        <w:tc>
          <w:tcPr>
            <w:tcW w:w="1423" w:type="dxa"/>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考核维度</w:t>
            </w:r>
          </w:p>
        </w:tc>
        <w:tc>
          <w:tcPr>
            <w:tcW w:w="4109" w:type="dxa"/>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考核指标及目标</w:t>
            </w:r>
          </w:p>
        </w:tc>
        <w:tc>
          <w:tcPr>
            <w:tcW w:w="1940" w:type="dxa"/>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考核指标来源</w:t>
            </w:r>
          </w:p>
        </w:tc>
        <w:tc>
          <w:tcPr>
            <w:tcW w:w="1440" w:type="dxa"/>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考核分值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62" w:type="dxa"/>
            <w:vAlign w:val="center"/>
          </w:tcPr>
          <w:p>
            <w:pPr>
              <w:overflowPunct w:val="0"/>
              <w:snapToGrid w:val="0"/>
              <w:ind w:firstLine="0" w:firstLineChars="0"/>
              <w:jc w:val="center"/>
              <w:rPr>
                <w:color w:val="000000"/>
                <w:kern w:val="0"/>
                <w:sz w:val="24"/>
              </w:rPr>
            </w:pPr>
            <w:r>
              <w:rPr>
                <w:color w:val="000000"/>
                <w:kern w:val="0"/>
                <w:sz w:val="24"/>
              </w:rPr>
              <w:t>1</w:t>
            </w:r>
          </w:p>
        </w:tc>
        <w:tc>
          <w:tcPr>
            <w:tcW w:w="1423" w:type="dxa"/>
            <w:vMerge w:val="restart"/>
            <w:tcBorders>
              <w:top w:val="single" w:color="auto" w:sz="4" w:space="0"/>
              <w:left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color w:val="000000"/>
                <w:kern w:val="0"/>
                <w:sz w:val="24"/>
              </w:rPr>
              <w:t>经营业绩指标（70%）</w:t>
            </w:r>
          </w:p>
        </w:tc>
        <w:tc>
          <w:tcPr>
            <w:tcW w:w="4109" w:type="dxa"/>
            <w:tcBorders>
              <w:top w:val="single" w:color="auto" w:sz="4" w:space="0"/>
              <w:left w:val="nil"/>
              <w:bottom w:val="single" w:color="auto" w:sz="4" w:space="0"/>
              <w:right w:val="single" w:color="auto" w:sz="4" w:space="0"/>
            </w:tcBorders>
            <w:shd w:val="clear" w:color="auto" w:fill="auto"/>
            <w:vAlign w:val="center"/>
          </w:tcPr>
          <w:p>
            <w:pPr>
              <w:overflowPunct w:val="0"/>
              <w:snapToGrid w:val="0"/>
              <w:ind w:firstLine="0" w:firstLineChars="0"/>
              <w:rPr>
                <w:color w:val="000000"/>
                <w:kern w:val="0"/>
                <w:sz w:val="24"/>
              </w:rPr>
            </w:pPr>
            <w:r>
              <w:rPr>
                <w:rFonts w:hint="eastAsia"/>
                <w:color w:val="000000"/>
                <w:kern w:val="0"/>
                <w:sz w:val="24"/>
              </w:rPr>
              <w:t>营业收入</w:t>
            </w:r>
          </w:p>
        </w:tc>
        <w:tc>
          <w:tcPr>
            <w:tcW w:w="1940" w:type="dxa"/>
            <w:tcBorders>
              <w:top w:val="single" w:color="auto" w:sz="4" w:space="0"/>
              <w:left w:val="single" w:color="auto" w:sz="4" w:space="0"/>
              <w:bottom w:val="single" w:color="auto" w:sz="4" w:space="0"/>
              <w:right w:val="single" w:color="auto" w:sz="4" w:space="0"/>
            </w:tcBorders>
            <w:vAlign w:val="center"/>
          </w:tcPr>
          <w:p>
            <w:pPr>
              <w:overflowPunct w:val="0"/>
              <w:snapToGrid w:val="0"/>
              <w:ind w:firstLine="0" w:firstLineChars="0"/>
              <w:jc w:val="center"/>
              <w:rPr>
                <w:color w:val="000000"/>
                <w:kern w:val="0"/>
                <w:sz w:val="24"/>
              </w:rPr>
            </w:pPr>
            <w:r>
              <w:rPr>
                <w:color w:val="000000"/>
                <w:kern w:val="0"/>
                <w:sz w:val="24"/>
              </w:rPr>
              <w:t>董事会考核指标</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62" w:type="dxa"/>
            <w:vAlign w:val="center"/>
          </w:tcPr>
          <w:p>
            <w:pPr>
              <w:overflowPunct w:val="0"/>
              <w:snapToGrid w:val="0"/>
              <w:ind w:firstLine="0" w:firstLineChars="0"/>
              <w:jc w:val="center"/>
              <w:rPr>
                <w:color w:val="000000"/>
                <w:kern w:val="0"/>
                <w:sz w:val="24"/>
              </w:rPr>
            </w:pPr>
            <w:r>
              <w:rPr>
                <w:color w:val="000000"/>
                <w:kern w:val="0"/>
                <w:sz w:val="24"/>
              </w:rPr>
              <w:t>2</w:t>
            </w:r>
          </w:p>
        </w:tc>
        <w:tc>
          <w:tcPr>
            <w:tcW w:w="1423" w:type="dxa"/>
            <w:vMerge w:val="continue"/>
            <w:tcBorders>
              <w:left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p>
        </w:tc>
        <w:tc>
          <w:tcPr>
            <w:tcW w:w="4109" w:type="dxa"/>
            <w:tcBorders>
              <w:top w:val="single" w:color="auto" w:sz="4" w:space="0"/>
              <w:left w:val="nil"/>
              <w:bottom w:val="single" w:color="auto" w:sz="4" w:space="0"/>
              <w:right w:val="single" w:color="auto" w:sz="4" w:space="0"/>
            </w:tcBorders>
            <w:shd w:val="clear" w:color="auto" w:fill="auto"/>
            <w:vAlign w:val="center"/>
          </w:tcPr>
          <w:p>
            <w:pPr>
              <w:overflowPunct w:val="0"/>
              <w:snapToGrid w:val="0"/>
              <w:ind w:firstLine="0" w:firstLineChars="0"/>
              <w:rPr>
                <w:color w:val="000000"/>
                <w:kern w:val="0"/>
                <w:sz w:val="24"/>
              </w:rPr>
            </w:pPr>
            <w:r>
              <w:rPr>
                <w:rFonts w:hint="eastAsia"/>
                <w:color w:val="000000"/>
                <w:kern w:val="0"/>
                <w:sz w:val="24"/>
              </w:rPr>
              <w:t>集团外营业收入</w:t>
            </w:r>
          </w:p>
        </w:tc>
        <w:tc>
          <w:tcPr>
            <w:tcW w:w="1940" w:type="dxa"/>
            <w:tcBorders>
              <w:top w:val="single" w:color="auto" w:sz="4" w:space="0"/>
              <w:left w:val="single" w:color="auto" w:sz="4" w:space="0"/>
              <w:bottom w:val="single" w:color="auto" w:sz="4" w:space="0"/>
              <w:right w:val="single" w:color="auto" w:sz="4" w:space="0"/>
            </w:tcBorders>
            <w:vAlign w:val="center"/>
          </w:tcPr>
          <w:p>
            <w:pPr>
              <w:overflowPunct w:val="0"/>
              <w:snapToGrid w:val="0"/>
              <w:ind w:firstLine="0" w:firstLineChars="0"/>
              <w:jc w:val="center"/>
              <w:rPr>
                <w:color w:val="000000"/>
                <w:kern w:val="0"/>
                <w:sz w:val="24"/>
              </w:rPr>
            </w:pPr>
            <w:r>
              <w:rPr>
                <w:color w:val="000000"/>
                <w:kern w:val="0"/>
                <w:sz w:val="24"/>
              </w:rPr>
              <w:t>董事会考核指标</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62" w:type="dxa"/>
            <w:vAlign w:val="center"/>
          </w:tcPr>
          <w:p>
            <w:pPr>
              <w:overflowPunct w:val="0"/>
              <w:snapToGrid w:val="0"/>
              <w:ind w:firstLine="0" w:firstLineChars="0"/>
              <w:jc w:val="center"/>
              <w:rPr>
                <w:color w:val="000000"/>
                <w:kern w:val="0"/>
                <w:sz w:val="24"/>
              </w:rPr>
            </w:pPr>
            <w:r>
              <w:rPr>
                <w:color w:val="000000"/>
                <w:kern w:val="0"/>
                <w:sz w:val="24"/>
              </w:rPr>
              <w:t>3</w:t>
            </w:r>
          </w:p>
        </w:tc>
        <w:tc>
          <w:tcPr>
            <w:tcW w:w="1423" w:type="dxa"/>
            <w:vMerge w:val="continue"/>
            <w:tcBorders>
              <w:left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p>
        </w:tc>
        <w:tc>
          <w:tcPr>
            <w:tcW w:w="4109" w:type="dxa"/>
            <w:tcBorders>
              <w:top w:val="single" w:color="auto" w:sz="4" w:space="0"/>
              <w:left w:val="nil"/>
              <w:bottom w:val="single" w:color="auto" w:sz="4" w:space="0"/>
              <w:right w:val="single" w:color="auto" w:sz="4" w:space="0"/>
            </w:tcBorders>
            <w:shd w:val="clear" w:color="auto" w:fill="auto"/>
            <w:vAlign w:val="center"/>
          </w:tcPr>
          <w:p>
            <w:pPr>
              <w:overflowPunct w:val="0"/>
              <w:snapToGrid w:val="0"/>
              <w:ind w:firstLine="0" w:firstLineChars="0"/>
              <w:rPr>
                <w:color w:val="000000"/>
                <w:kern w:val="0"/>
                <w:sz w:val="24"/>
              </w:rPr>
            </w:pPr>
            <w:r>
              <w:rPr>
                <w:rFonts w:hint="eastAsia"/>
                <w:color w:val="000000"/>
                <w:kern w:val="0"/>
                <w:sz w:val="24"/>
              </w:rPr>
              <w:t>利润总额</w:t>
            </w:r>
          </w:p>
        </w:tc>
        <w:tc>
          <w:tcPr>
            <w:tcW w:w="1940" w:type="dxa"/>
            <w:tcBorders>
              <w:top w:val="single" w:color="auto" w:sz="4" w:space="0"/>
              <w:left w:val="single" w:color="auto" w:sz="4" w:space="0"/>
              <w:bottom w:val="single" w:color="auto" w:sz="4" w:space="0"/>
              <w:right w:val="single" w:color="auto" w:sz="4" w:space="0"/>
            </w:tcBorders>
            <w:vAlign w:val="center"/>
          </w:tcPr>
          <w:p>
            <w:pPr>
              <w:overflowPunct w:val="0"/>
              <w:snapToGrid w:val="0"/>
              <w:ind w:firstLine="0" w:firstLineChars="0"/>
              <w:jc w:val="center"/>
              <w:rPr>
                <w:color w:val="000000"/>
                <w:kern w:val="0"/>
                <w:sz w:val="24"/>
              </w:rPr>
            </w:pPr>
            <w:r>
              <w:rPr>
                <w:color w:val="000000"/>
                <w:kern w:val="0"/>
                <w:sz w:val="24"/>
              </w:rPr>
              <w:t>董事会考核指标</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62" w:type="dxa"/>
            <w:vAlign w:val="center"/>
          </w:tcPr>
          <w:p>
            <w:pPr>
              <w:overflowPunct w:val="0"/>
              <w:snapToGrid w:val="0"/>
              <w:ind w:firstLine="0" w:firstLineChars="0"/>
              <w:jc w:val="center"/>
              <w:rPr>
                <w:color w:val="000000"/>
                <w:kern w:val="0"/>
                <w:sz w:val="24"/>
              </w:rPr>
            </w:pPr>
            <w:r>
              <w:rPr>
                <w:color w:val="000000"/>
                <w:kern w:val="0"/>
                <w:sz w:val="24"/>
              </w:rPr>
              <w:t>4</w:t>
            </w:r>
          </w:p>
        </w:tc>
        <w:tc>
          <w:tcPr>
            <w:tcW w:w="1423" w:type="dxa"/>
            <w:vMerge w:val="continue"/>
            <w:tcBorders>
              <w:left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p>
        </w:tc>
        <w:tc>
          <w:tcPr>
            <w:tcW w:w="4109" w:type="dxa"/>
            <w:tcBorders>
              <w:top w:val="single" w:color="auto" w:sz="4" w:space="0"/>
              <w:left w:val="nil"/>
              <w:bottom w:val="single" w:color="auto" w:sz="4" w:space="0"/>
              <w:right w:val="single" w:color="auto" w:sz="4" w:space="0"/>
            </w:tcBorders>
            <w:shd w:val="clear" w:color="auto" w:fill="auto"/>
            <w:vAlign w:val="center"/>
          </w:tcPr>
          <w:p>
            <w:pPr>
              <w:overflowPunct w:val="0"/>
              <w:snapToGrid w:val="0"/>
              <w:ind w:firstLine="0" w:firstLineChars="0"/>
              <w:rPr>
                <w:color w:val="000000"/>
                <w:kern w:val="0"/>
                <w:sz w:val="24"/>
              </w:rPr>
            </w:pPr>
            <w:r>
              <w:rPr>
                <w:rFonts w:hint="eastAsia"/>
                <w:color w:val="000000"/>
                <w:kern w:val="0"/>
                <w:sz w:val="24"/>
              </w:rPr>
              <w:t>新签合同额</w:t>
            </w:r>
          </w:p>
        </w:tc>
        <w:tc>
          <w:tcPr>
            <w:tcW w:w="1940" w:type="dxa"/>
            <w:tcBorders>
              <w:top w:val="single" w:color="auto" w:sz="4" w:space="0"/>
              <w:left w:val="single" w:color="auto" w:sz="4" w:space="0"/>
              <w:bottom w:val="single" w:color="auto" w:sz="4" w:space="0"/>
              <w:right w:val="single" w:color="auto" w:sz="4" w:space="0"/>
            </w:tcBorders>
            <w:vAlign w:val="center"/>
          </w:tcPr>
          <w:p>
            <w:pPr>
              <w:overflowPunct w:val="0"/>
              <w:snapToGrid w:val="0"/>
              <w:ind w:firstLine="0" w:firstLineChars="0"/>
              <w:jc w:val="center"/>
              <w:rPr>
                <w:color w:val="000000"/>
                <w:kern w:val="0"/>
                <w:sz w:val="24"/>
              </w:rPr>
            </w:pPr>
            <w:r>
              <w:rPr>
                <w:color w:val="000000"/>
                <w:kern w:val="0"/>
                <w:sz w:val="24"/>
              </w:rPr>
              <w:t>董事会考核指标</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62" w:type="dxa"/>
            <w:vAlign w:val="center"/>
          </w:tcPr>
          <w:p>
            <w:pPr>
              <w:overflowPunct w:val="0"/>
              <w:snapToGrid w:val="0"/>
              <w:ind w:firstLine="0" w:firstLineChars="0"/>
              <w:jc w:val="center"/>
              <w:rPr>
                <w:color w:val="000000"/>
                <w:kern w:val="0"/>
                <w:sz w:val="24"/>
              </w:rPr>
            </w:pPr>
            <w:r>
              <w:rPr>
                <w:rFonts w:hint="eastAsia"/>
                <w:color w:val="000000"/>
                <w:kern w:val="0"/>
                <w:sz w:val="24"/>
              </w:rPr>
              <w:t>5</w:t>
            </w:r>
          </w:p>
        </w:tc>
        <w:tc>
          <w:tcPr>
            <w:tcW w:w="1423" w:type="dxa"/>
            <w:vMerge w:val="continue"/>
            <w:tcBorders>
              <w:left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p>
        </w:tc>
        <w:tc>
          <w:tcPr>
            <w:tcW w:w="4109" w:type="dxa"/>
            <w:tcBorders>
              <w:top w:val="single" w:color="auto" w:sz="4" w:space="0"/>
              <w:left w:val="nil"/>
              <w:bottom w:val="single" w:color="auto" w:sz="4" w:space="0"/>
              <w:right w:val="single" w:color="auto" w:sz="4" w:space="0"/>
            </w:tcBorders>
            <w:shd w:val="clear" w:color="auto" w:fill="auto"/>
            <w:vAlign w:val="center"/>
          </w:tcPr>
          <w:p>
            <w:pPr>
              <w:overflowPunct w:val="0"/>
              <w:snapToGrid w:val="0"/>
              <w:ind w:firstLine="0" w:firstLineChars="0"/>
              <w:rPr>
                <w:color w:val="000000"/>
                <w:kern w:val="0"/>
                <w:sz w:val="24"/>
              </w:rPr>
            </w:pPr>
            <w:r>
              <w:rPr>
                <w:rFonts w:hint="eastAsia"/>
                <w:color w:val="000000"/>
                <w:kern w:val="0"/>
                <w:sz w:val="24"/>
              </w:rPr>
              <w:t>集团外新签合同额</w:t>
            </w:r>
          </w:p>
        </w:tc>
        <w:tc>
          <w:tcPr>
            <w:tcW w:w="1940" w:type="dxa"/>
            <w:tcBorders>
              <w:top w:val="single" w:color="auto" w:sz="4" w:space="0"/>
              <w:left w:val="single" w:color="auto" w:sz="4" w:space="0"/>
              <w:bottom w:val="single" w:color="auto" w:sz="4" w:space="0"/>
              <w:right w:val="single" w:color="auto" w:sz="4" w:space="0"/>
            </w:tcBorders>
            <w:vAlign w:val="center"/>
          </w:tcPr>
          <w:p>
            <w:pPr>
              <w:overflowPunct w:val="0"/>
              <w:snapToGrid w:val="0"/>
              <w:ind w:firstLine="0" w:firstLineChars="0"/>
              <w:jc w:val="center"/>
              <w:rPr>
                <w:color w:val="000000"/>
                <w:kern w:val="0"/>
                <w:sz w:val="24"/>
              </w:rPr>
            </w:pPr>
            <w:r>
              <w:rPr>
                <w:color w:val="000000"/>
                <w:kern w:val="0"/>
                <w:sz w:val="24"/>
              </w:rPr>
              <w:t>董事会考核指标</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62" w:type="dxa"/>
            <w:vAlign w:val="center"/>
          </w:tcPr>
          <w:p>
            <w:pPr>
              <w:overflowPunct w:val="0"/>
              <w:snapToGrid w:val="0"/>
              <w:ind w:firstLine="0" w:firstLineChars="0"/>
              <w:jc w:val="center"/>
              <w:rPr>
                <w:color w:val="000000"/>
                <w:kern w:val="0"/>
                <w:sz w:val="24"/>
              </w:rPr>
            </w:pPr>
            <w:r>
              <w:rPr>
                <w:color w:val="000000"/>
                <w:kern w:val="0"/>
                <w:sz w:val="24"/>
              </w:rPr>
              <w:t>6</w:t>
            </w:r>
          </w:p>
        </w:tc>
        <w:tc>
          <w:tcPr>
            <w:tcW w:w="1423" w:type="dxa"/>
            <w:vMerge w:val="restart"/>
            <w:tcBorders>
              <w:left w:val="single" w:color="auto" w:sz="4" w:space="0"/>
              <w:right w:val="single" w:color="auto" w:sz="4" w:space="0"/>
            </w:tcBorders>
            <w:vAlign w:val="center"/>
          </w:tcPr>
          <w:p>
            <w:pPr>
              <w:overflowPunct w:val="0"/>
              <w:snapToGrid w:val="0"/>
              <w:ind w:firstLine="0" w:firstLineChars="0"/>
              <w:jc w:val="center"/>
              <w:rPr>
                <w:color w:val="000000"/>
                <w:kern w:val="0"/>
                <w:sz w:val="24"/>
              </w:rPr>
            </w:pPr>
            <w:r>
              <w:rPr>
                <w:color w:val="000000"/>
                <w:kern w:val="0"/>
                <w:sz w:val="24"/>
              </w:rPr>
              <w:t>管理发展指标</w:t>
            </w:r>
            <w:r>
              <w:rPr>
                <w:rFonts w:hint="eastAsia"/>
                <w:color w:val="000000"/>
                <w:kern w:val="0"/>
                <w:sz w:val="24"/>
              </w:rPr>
              <w:t>（</w:t>
            </w:r>
            <w:r>
              <w:rPr>
                <w:color w:val="000000"/>
                <w:kern w:val="0"/>
                <w:sz w:val="24"/>
              </w:rPr>
              <w:t>30%</w:t>
            </w:r>
            <w:r>
              <w:rPr>
                <w:rFonts w:hint="eastAsia"/>
                <w:color w:val="000000"/>
                <w:kern w:val="0"/>
                <w:sz w:val="24"/>
              </w:rPr>
              <w:t>）</w:t>
            </w:r>
          </w:p>
        </w:tc>
        <w:tc>
          <w:tcPr>
            <w:tcW w:w="4109" w:type="dxa"/>
            <w:tcBorders>
              <w:top w:val="nil"/>
              <w:left w:val="nil"/>
              <w:bottom w:val="single" w:color="auto" w:sz="4" w:space="0"/>
              <w:right w:val="single" w:color="auto" w:sz="4" w:space="0"/>
            </w:tcBorders>
            <w:shd w:val="clear" w:color="auto" w:fill="auto"/>
            <w:vAlign w:val="center"/>
          </w:tcPr>
          <w:p>
            <w:pPr>
              <w:overflowPunct w:val="0"/>
              <w:snapToGrid w:val="0"/>
              <w:ind w:firstLine="0" w:firstLineChars="0"/>
              <w:jc w:val="left"/>
              <w:rPr>
                <w:color w:val="000000"/>
                <w:kern w:val="0"/>
                <w:sz w:val="24"/>
              </w:rPr>
            </w:pPr>
            <w:r>
              <w:rPr>
                <w:color w:val="000000"/>
                <w:kern w:val="0"/>
                <w:sz w:val="24"/>
              </w:rPr>
              <w:t>新增业务资质不少于XX项</w:t>
            </w:r>
          </w:p>
        </w:tc>
        <w:tc>
          <w:tcPr>
            <w:tcW w:w="1940" w:type="dxa"/>
            <w:tcBorders>
              <w:top w:val="nil"/>
              <w:left w:val="single" w:color="auto" w:sz="4" w:space="0"/>
              <w:bottom w:val="single" w:color="auto" w:sz="4" w:space="0"/>
              <w:right w:val="single" w:color="auto" w:sz="4" w:space="0"/>
            </w:tcBorders>
            <w:vAlign w:val="center"/>
          </w:tcPr>
          <w:p>
            <w:pPr>
              <w:overflowPunct w:val="0"/>
              <w:snapToGrid w:val="0"/>
              <w:ind w:firstLine="0" w:firstLineChars="0"/>
              <w:jc w:val="center"/>
              <w:rPr>
                <w:color w:val="000000"/>
                <w:kern w:val="0"/>
                <w:sz w:val="24"/>
              </w:rPr>
            </w:pPr>
            <w:r>
              <w:rPr>
                <w:color w:val="000000"/>
                <w:kern w:val="0"/>
                <w:sz w:val="24"/>
              </w:rPr>
              <w:t>董事会考核指标</w:t>
            </w:r>
          </w:p>
        </w:tc>
        <w:tc>
          <w:tcPr>
            <w:tcW w:w="1440"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62" w:type="dxa"/>
            <w:vAlign w:val="center"/>
          </w:tcPr>
          <w:p>
            <w:pPr>
              <w:overflowPunct w:val="0"/>
              <w:snapToGrid w:val="0"/>
              <w:ind w:firstLine="0" w:firstLineChars="0"/>
              <w:jc w:val="center"/>
              <w:rPr>
                <w:color w:val="000000"/>
                <w:kern w:val="0"/>
                <w:sz w:val="24"/>
              </w:rPr>
            </w:pPr>
            <w:r>
              <w:rPr>
                <w:color w:val="000000"/>
                <w:kern w:val="0"/>
                <w:sz w:val="24"/>
              </w:rPr>
              <w:t>7</w:t>
            </w:r>
          </w:p>
        </w:tc>
        <w:tc>
          <w:tcPr>
            <w:tcW w:w="1423" w:type="dxa"/>
            <w:vMerge w:val="continue"/>
            <w:tcBorders>
              <w:left w:val="single" w:color="auto" w:sz="4" w:space="0"/>
              <w:right w:val="single" w:color="auto" w:sz="4" w:space="0"/>
            </w:tcBorders>
            <w:vAlign w:val="center"/>
          </w:tcPr>
          <w:p>
            <w:pPr>
              <w:overflowPunct w:val="0"/>
              <w:snapToGrid w:val="0"/>
              <w:ind w:firstLine="0" w:firstLineChars="0"/>
              <w:jc w:val="center"/>
              <w:rPr>
                <w:color w:val="000000"/>
                <w:kern w:val="0"/>
                <w:sz w:val="24"/>
              </w:rPr>
            </w:pPr>
          </w:p>
        </w:tc>
        <w:tc>
          <w:tcPr>
            <w:tcW w:w="4109" w:type="dxa"/>
            <w:tcBorders>
              <w:top w:val="nil"/>
              <w:left w:val="nil"/>
              <w:bottom w:val="single" w:color="auto" w:sz="4" w:space="0"/>
              <w:right w:val="single" w:color="auto" w:sz="4" w:space="0"/>
            </w:tcBorders>
            <w:shd w:val="clear" w:color="auto" w:fill="auto"/>
            <w:vAlign w:val="center"/>
          </w:tcPr>
          <w:p>
            <w:pPr>
              <w:overflowPunct w:val="0"/>
              <w:snapToGrid w:val="0"/>
              <w:ind w:firstLine="0" w:firstLineChars="0"/>
              <w:jc w:val="left"/>
              <w:rPr>
                <w:color w:val="000000"/>
                <w:kern w:val="0"/>
                <w:sz w:val="24"/>
              </w:rPr>
            </w:pPr>
            <w:r>
              <w:rPr>
                <w:color w:val="000000"/>
                <w:kern w:val="0"/>
                <w:sz w:val="24"/>
              </w:rPr>
              <w:t>组建核心管理团队和主要业务团队</w:t>
            </w:r>
          </w:p>
        </w:tc>
        <w:tc>
          <w:tcPr>
            <w:tcW w:w="1940" w:type="dxa"/>
            <w:tcBorders>
              <w:top w:val="nil"/>
              <w:left w:val="single" w:color="auto" w:sz="4" w:space="0"/>
              <w:bottom w:val="single" w:color="auto" w:sz="4" w:space="0"/>
              <w:right w:val="single" w:color="auto" w:sz="4" w:space="0"/>
            </w:tcBorders>
            <w:vAlign w:val="center"/>
          </w:tcPr>
          <w:p>
            <w:pPr>
              <w:overflowPunct w:val="0"/>
              <w:snapToGrid w:val="0"/>
              <w:ind w:firstLine="0" w:firstLineChars="0"/>
              <w:jc w:val="center"/>
              <w:rPr>
                <w:color w:val="000000"/>
                <w:kern w:val="0"/>
                <w:sz w:val="24"/>
              </w:rPr>
            </w:pPr>
            <w:r>
              <w:rPr>
                <w:color w:val="000000"/>
                <w:kern w:val="0"/>
                <w:sz w:val="24"/>
              </w:rPr>
              <w:t>董事会考核指标</w:t>
            </w:r>
          </w:p>
        </w:tc>
        <w:tc>
          <w:tcPr>
            <w:tcW w:w="1440"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2" w:type="dxa"/>
            <w:vAlign w:val="center"/>
          </w:tcPr>
          <w:p>
            <w:pPr>
              <w:overflowPunct w:val="0"/>
              <w:snapToGrid w:val="0"/>
              <w:ind w:firstLine="0" w:firstLineChars="0"/>
              <w:jc w:val="center"/>
              <w:rPr>
                <w:color w:val="000000"/>
                <w:kern w:val="0"/>
                <w:sz w:val="24"/>
              </w:rPr>
            </w:pPr>
            <w:r>
              <w:rPr>
                <w:color w:val="000000"/>
                <w:kern w:val="0"/>
                <w:sz w:val="24"/>
              </w:rPr>
              <w:t>8</w:t>
            </w:r>
          </w:p>
        </w:tc>
        <w:tc>
          <w:tcPr>
            <w:tcW w:w="1423" w:type="dxa"/>
            <w:vMerge w:val="continue"/>
            <w:tcBorders>
              <w:left w:val="single" w:color="auto" w:sz="4" w:space="0"/>
              <w:right w:val="single" w:color="auto" w:sz="4" w:space="0"/>
            </w:tcBorders>
            <w:vAlign w:val="center"/>
          </w:tcPr>
          <w:p>
            <w:pPr>
              <w:overflowPunct w:val="0"/>
              <w:snapToGrid w:val="0"/>
              <w:ind w:firstLine="0" w:firstLineChars="0"/>
              <w:jc w:val="center"/>
              <w:rPr>
                <w:color w:val="000000"/>
                <w:kern w:val="0"/>
                <w:sz w:val="24"/>
              </w:rPr>
            </w:pPr>
          </w:p>
        </w:tc>
        <w:tc>
          <w:tcPr>
            <w:tcW w:w="4109" w:type="dxa"/>
            <w:tcBorders>
              <w:top w:val="nil"/>
              <w:left w:val="nil"/>
              <w:bottom w:val="single" w:color="auto" w:sz="4" w:space="0"/>
              <w:right w:val="single" w:color="auto" w:sz="4" w:space="0"/>
            </w:tcBorders>
            <w:shd w:val="clear" w:color="auto" w:fill="auto"/>
            <w:vAlign w:val="center"/>
          </w:tcPr>
          <w:p>
            <w:pPr>
              <w:overflowPunct w:val="0"/>
              <w:snapToGrid w:val="0"/>
              <w:ind w:firstLine="0" w:firstLineChars="0"/>
              <w:jc w:val="left"/>
              <w:rPr>
                <w:color w:val="000000"/>
                <w:kern w:val="0"/>
                <w:sz w:val="24"/>
              </w:rPr>
            </w:pPr>
            <w:r>
              <w:rPr>
                <w:color w:val="000000"/>
                <w:kern w:val="0"/>
                <w:sz w:val="24"/>
              </w:rPr>
              <w:t>完成雄安公司组织架构设计及岗位编制制定，制定三年中长期规划</w:t>
            </w:r>
          </w:p>
        </w:tc>
        <w:tc>
          <w:tcPr>
            <w:tcW w:w="1940" w:type="dxa"/>
            <w:tcBorders>
              <w:top w:val="nil"/>
              <w:left w:val="single" w:color="auto" w:sz="4" w:space="0"/>
              <w:bottom w:val="single" w:color="auto" w:sz="4" w:space="0"/>
              <w:right w:val="single" w:color="auto" w:sz="4" w:space="0"/>
            </w:tcBorders>
            <w:vAlign w:val="center"/>
          </w:tcPr>
          <w:p>
            <w:pPr>
              <w:overflowPunct w:val="0"/>
              <w:snapToGrid w:val="0"/>
              <w:ind w:firstLine="0" w:firstLineChars="0"/>
              <w:jc w:val="center"/>
              <w:rPr>
                <w:color w:val="000000"/>
                <w:kern w:val="0"/>
                <w:sz w:val="24"/>
              </w:rPr>
            </w:pPr>
            <w:r>
              <w:rPr>
                <w:color w:val="000000"/>
                <w:kern w:val="0"/>
                <w:sz w:val="24"/>
              </w:rPr>
              <w:t>董事会考核指标</w:t>
            </w:r>
          </w:p>
        </w:tc>
        <w:tc>
          <w:tcPr>
            <w:tcW w:w="1440"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6094" w:type="dxa"/>
            <w:gridSpan w:val="3"/>
            <w:vAlign w:val="center"/>
          </w:tcPr>
          <w:p>
            <w:pPr>
              <w:overflowPunct w:val="0"/>
              <w:snapToGrid w:val="0"/>
              <w:ind w:firstLine="0" w:firstLineChars="0"/>
              <w:jc w:val="center"/>
              <w:rPr>
                <w:b/>
                <w:bCs/>
                <w:color w:val="000000"/>
                <w:kern w:val="0"/>
                <w:sz w:val="24"/>
              </w:rPr>
            </w:pPr>
            <w:r>
              <w:rPr>
                <w:b/>
                <w:bCs/>
                <w:color w:val="000000"/>
                <w:kern w:val="0"/>
                <w:sz w:val="24"/>
              </w:rPr>
              <w:t>标准分合计</w:t>
            </w:r>
          </w:p>
        </w:tc>
        <w:tc>
          <w:tcPr>
            <w:tcW w:w="1940" w:type="dxa"/>
          </w:tcPr>
          <w:p>
            <w:pPr>
              <w:overflowPunct w:val="0"/>
              <w:snapToGrid w:val="0"/>
              <w:ind w:firstLine="0" w:firstLineChars="0"/>
              <w:jc w:val="center"/>
              <w:rPr>
                <w:b/>
                <w:bCs/>
                <w:color w:val="000000"/>
                <w:kern w:val="0"/>
                <w:sz w:val="24"/>
              </w:rPr>
            </w:pPr>
          </w:p>
        </w:tc>
        <w:tc>
          <w:tcPr>
            <w:tcW w:w="1440" w:type="dxa"/>
            <w:vAlign w:val="center"/>
          </w:tcPr>
          <w:p>
            <w:pPr>
              <w:overflowPunct w:val="0"/>
              <w:snapToGrid w:val="0"/>
              <w:ind w:firstLine="0" w:firstLineChars="0"/>
              <w:jc w:val="center"/>
              <w:rPr>
                <w:b/>
                <w:bCs/>
                <w:color w:val="000000"/>
                <w:kern w:val="0"/>
                <w:sz w:val="24"/>
              </w:rPr>
            </w:pPr>
            <w:r>
              <w:rPr>
                <w:b/>
                <w:bCs/>
                <w:color w:val="000000"/>
                <w:kern w:val="0"/>
                <w:sz w:val="24"/>
              </w:rPr>
              <w:t>100</w:t>
            </w:r>
          </w:p>
        </w:tc>
      </w:tr>
    </w:tbl>
    <w:p>
      <w:pPr>
        <w:overflowPunct w:val="0"/>
        <w:spacing w:line="560" w:lineRule="exact"/>
        <w:ind w:firstLine="676"/>
        <w:rPr>
          <w:color w:val="000000"/>
          <w:kern w:val="0"/>
          <w:szCs w:val="32"/>
        </w:rPr>
      </w:pPr>
      <w:r>
        <w:rPr>
          <w:color w:val="000000"/>
          <w:kern w:val="0"/>
          <w:szCs w:val="32"/>
        </w:rPr>
        <w:t>（2）其他职业经理人：由共担指标和个性化指标组成，共担指标为总经理年度经营业绩考核结果，权重为20%；个性化指标5</w:t>
      </w:r>
      <w:r>
        <w:rPr>
          <w:rFonts w:hint="eastAsia"/>
          <w:color w:val="000000"/>
          <w:kern w:val="0"/>
          <w:szCs w:val="32"/>
        </w:rPr>
        <w:t>—</w:t>
      </w:r>
      <w:r>
        <w:rPr>
          <w:color w:val="000000"/>
          <w:kern w:val="0"/>
          <w:szCs w:val="32"/>
        </w:rPr>
        <w:t>7个，单个指标权重一般不低于5%，权重为80%，其中个性化指标中的经营业绩指标目标值在总经理目标值的基础上上浮5%以上下达。</w:t>
      </w:r>
    </w:p>
    <w:p>
      <w:pPr>
        <w:overflowPunct w:val="0"/>
        <w:spacing w:after="200" w:line="560" w:lineRule="exact"/>
        <w:ind w:firstLine="482" w:firstLineChars="0"/>
        <w:jc w:val="center"/>
        <w:rPr>
          <w:rFonts w:eastAsia="楷体_GB2312"/>
          <w:b/>
          <w:bCs/>
          <w:color w:val="000000"/>
          <w:kern w:val="0"/>
          <w:sz w:val="30"/>
          <w:szCs w:val="30"/>
        </w:rPr>
      </w:pPr>
      <w:r>
        <w:rPr>
          <w:rFonts w:eastAsia="楷体_GB2312"/>
          <w:b/>
          <w:bCs/>
          <w:color w:val="000000"/>
          <w:kern w:val="0"/>
          <w:sz w:val="30"/>
          <w:szCs w:val="30"/>
        </w:rPr>
        <w:t>表</w:t>
      </w:r>
      <w:r>
        <w:rPr>
          <w:rFonts w:hint="eastAsia" w:eastAsia="楷体_GB2312"/>
          <w:b/>
          <w:bCs/>
          <w:color w:val="000000"/>
          <w:kern w:val="0"/>
          <w:sz w:val="30"/>
          <w:szCs w:val="30"/>
        </w:rPr>
        <w:t>2</w:t>
      </w:r>
      <w:r>
        <w:rPr>
          <w:rFonts w:eastAsia="楷体_GB2312"/>
          <w:b/>
          <w:bCs/>
          <w:color w:val="000000"/>
          <w:kern w:val="0"/>
          <w:sz w:val="30"/>
          <w:szCs w:val="30"/>
        </w:rPr>
        <w:t>：雄安公司副总经理年度考核要点</w:t>
      </w:r>
    </w:p>
    <w:tbl>
      <w:tblPr>
        <w:tblStyle w:val="23"/>
        <w:tblW w:w="949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4"/>
        <w:gridCol w:w="1760"/>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2174" w:type="dxa"/>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岗位</w:t>
            </w:r>
          </w:p>
        </w:tc>
        <w:tc>
          <w:tcPr>
            <w:tcW w:w="1760" w:type="dxa"/>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总经理年度经营业绩考核结果（20分）</w:t>
            </w:r>
          </w:p>
        </w:tc>
        <w:tc>
          <w:tcPr>
            <w:tcW w:w="5558" w:type="dxa"/>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岗位关键业绩指标（80分）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174" w:type="dxa"/>
            <w:vAlign w:val="center"/>
          </w:tcPr>
          <w:p>
            <w:pPr>
              <w:overflowPunct w:val="0"/>
              <w:snapToGrid w:val="0"/>
              <w:ind w:firstLine="0" w:firstLineChars="0"/>
              <w:jc w:val="center"/>
              <w:rPr>
                <w:color w:val="000000"/>
                <w:kern w:val="0"/>
                <w:sz w:val="24"/>
              </w:rPr>
            </w:pPr>
            <w:r>
              <w:rPr>
                <w:color w:val="000000"/>
                <w:kern w:val="0"/>
                <w:sz w:val="24"/>
              </w:rPr>
              <w:t>副总经理</w:t>
            </w:r>
          </w:p>
          <w:p>
            <w:pPr>
              <w:overflowPunct w:val="0"/>
              <w:snapToGrid w:val="0"/>
              <w:ind w:firstLine="0" w:firstLineChars="0"/>
              <w:jc w:val="center"/>
              <w:rPr>
                <w:color w:val="000000"/>
                <w:kern w:val="0"/>
                <w:sz w:val="24"/>
              </w:rPr>
            </w:pPr>
            <w:r>
              <w:rPr>
                <w:color w:val="000000"/>
                <w:kern w:val="0"/>
                <w:sz w:val="24"/>
              </w:rPr>
              <w:t>（负责市场营销）</w:t>
            </w:r>
          </w:p>
        </w:tc>
        <w:tc>
          <w:tcPr>
            <w:tcW w:w="1760" w:type="dxa"/>
            <w:vAlign w:val="center"/>
          </w:tcPr>
          <w:p>
            <w:pPr>
              <w:overflowPunct w:val="0"/>
              <w:snapToGrid w:val="0"/>
              <w:ind w:firstLine="0" w:firstLineChars="0"/>
              <w:jc w:val="center"/>
              <w:rPr>
                <w:color w:val="000000"/>
                <w:kern w:val="0"/>
                <w:sz w:val="24"/>
              </w:rPr>
            </w:pPr>
            <w:r>
              <w:rPr>
                <w:color w:val="000000"/>
                <w:kern w:val="0"/>
                <w:sz w:val="24"/>
              </w:rPr>
              <w:t>20</w:t>
            </w:r>
          </w:p>
        </w:tc>
        <w:tc>
          <w:tcPr>
            <w:tcW w:w="5558" w:type="dxa"/>
            <w:vAlign w:val="center"/>
          </w:tcPr>
          <w:p>
            <w:pPr>
              <w:overflowPunct w:val="0"/>
              <w:snapToGrid w:val="0"/>
              <w:ind w:firstLine="0" w:firstLineChars="0"/>
              <w:rPr>
                <w:color w:val="000000"/>
                <w:kern w:val="0"/>
                <w:sz w:val="24"/>
              </w:rPr>
            </w:pPr>
            <w:r>
              <w:rPr>
                <w:color w:val="000000"/>
                <w:kern w:val="0"/>
                <w:sz w:val="24"/>
              </w:rPr>
              <w:t>80分：新签合同额（主要指标）、集团外新签合同额、配合艾特斯</w:t>
            </w:r>
            <w:r>
              <w:rPr>
                <w:rFonts w:hint="eastAsia"/>
                <w:color w:val="000000"/>
                <w:kern w:val="0"/>
                <w:sz w:val="24"/>
              </w:rPr>
              <w:t>公司</w:t>
            </w:r>
            <w:r>
              <w:rPr>
                <w:color w:val="000000"/>
                <w:kern w:val="0"/>
                <w:sz w:val="24"/>
              </w:rPr>
              <w:t>组建销售团队、2023</w:t>
            </w:r>
            <w:r>
              <w:rPr>
                <w:rFonts w:hint="eastAsia"/>
                <w:color w:val="000000"/>
                <w:kern w:val="0"/>
                <w:sz w:val="24"/>
              </w:rPr>
              <w:t>—</w:t>
            </w:r>
            <w:r>
              <w:rPr>
                <w:color w:val="000000"/>
                <w:kern w:val="0"/>
                <w:sz w:val="24"/>
              </w:rPr>
              <w:t>2025智慧产品实施计划</w:t>
            </w:r>
            <w:r>
              <w:rPr>
                <w:rFonts w:hint="eastAsia"/>
                <w:color w:val="000000"/>
                <w:kern w:val="0"/>
                <w:sz w:val="24"/>
              </w:rPr>
              <w:t>，</w:t>
            </w:r>
            <w:r>
              <w:rPr>
                <w:color w:val="000000"/>
                <w:kern w:val="0"/>
                <w:sz w:val="24"/>
              </w:rPr>
              <w:t>完成智慧项目储备库建设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174" w:type="dxa"/>
            <w:vAlign w:val="center"/>
          </w:tcPr>
          <w:p>
            <w:pPr>
              <w:overflowPunct w:val="0"/>
              <w:snapToGrid w:val="0"/>
              <w:ind w:firstLine="0" w:firstLineChars="0"/>
              <w:jc w:val="center"/>
              <w:rPr>
                <w:color w:val="000000"/>
                <w:kern w:val="0"/>
                <w:sz w:val="24"/>
              </w:rPr>
            </w:pPr>
            <w:r>
              <w:rPr>
                <w:color w:val="000000"/>
                <w:kern w:val="0"/>
                <w:sz w:val="24"/>
              </w:rPr>
              <w:t>副总经理</w:t>
            </w:r>
          </w:p>
          <w:p>
            <w:pPr>
              <w:overflowPunct w:val="0"/>
              <w:snapToGrid w:val="0"/>
              <w:ind w:firstLine="0" w:firstLineChars="0"/>
              <w:jc w:val="center"/>
              <w:rPr>
                <w:color w:val="000000"/>
                <w:kern w:val="0"/>
                <w:sz w:val="24"/>
              </w:rPr>
            </w:pPr>
            <w:r>
              <w:rPr>
                <w:color w:val="000000"/>
                <w:kern w:val="0"/>
                <w:sz w:val="24"/>
              </w:rPr>
              <w:t>（负责实施运营）</w:t>
            </w:r>
          </w:p>
        </w:tc>
        <w:tc>
          <w:tcPr>
            <w:tcW w:w="1760" w:type="dxa"/>
            <w:vAlign w:val="center"/>
          </w:tcPr>
          <w:p>
            <w:pPr>
              <w:overflowPunct w:val="0"/>
              <w:snapToGrid w:val="0"/>
              <w:ind w:firstLine="0" w:firstLineChars="0"/>
              <w:jc w:val="center"/>
              <w:rPr>
                <w:color w:val="000000"/>
                <w:kern w:val="0"/>
                <w:sz w:val="24"/>
              </w:rPr>
            </w:pPr>
            <w:r>
              <w:rPr>
                <w:color w:val="000000"/>
                <w:kern w:val="0"/>
                <w:sz w:val="24"/>
              </w:rPr>
              <w:t>20</w:t>
            </w:r>
          </w:p>
        </w:tc>
        <w:tc>
          <w:tcPr>
            <w:tcW w:w="5558" w:type="dxa"/>
            <w:vAlign w:val="center"/>
          </w:tcPr>
          <w:p>
            <w:pPr>
              <w:overflowPunct w:val="0"/>
              <w:snapToGrid w:val="0"/>
              <w:ind w:firstLine="0" w:firstLineChars="0"/>
              <w:rPr>
                <w:color w:val="000000"/>
                <w:kern w:val="0"/>
                <w:sz w:val="24"/>
              </w:rPr>
            </w:pPr>
            <w:r>
              <w:rPr>
                <w:color w:val="000000"/>
                <w:kern w:val="0"/>
                <w:sz w:val="24"/>
              </w:rPr>
              <w:t>80分：营业收入（主要指标），新增业务资质不少于</w:t>
            </w:r>
            <w:r>
              <w:rPr>
                <w:rFonts w:hint="eastAsia"/>
                <w:color w:val="000000"/>
                <w:kern w:val="0"/>
                <w:sz w:val="24"/>
              </w:rPr>
              <w:t>xx</w:t>
            </w:r>
            <w:r>
              <w:rPr>
                <w:color w:val="000000"/>
                <w:kern w:val="0"/>
                <w:sz w:val="24"/>
              </w:rPr>
              <w:t>项，配合艾特斯</w:t>
            </w:r>
            <w:r>
              <w:rPr>
                <w:rFonts w:hint="eastAsia"/>
                <w:color w:val="000000"/>
                <w:kern w:val="0"/>
                <w:sz w:val="24"/>
              </w:rPr>
              <w:t>公司</w:t>
            </w:r>
            <w:r>
              <w:rPr>
                <w:color w:val="000000"/>
                <w:kern w:val="0"/>
                <w:sz w:val="24"/>
              </w:rPr>
              <w:t>组建业务团队，完成雄安公司制度、流程搭建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174" w:type="dxa"/>
            <w:vAlign w:val="center"/>
          </w:tcPr>
          <w:p>
            <w:pPr>
              <w:overflowPunct w:val="0"/>
              <w:snapToGrid w:val="0"/>
              <w:ind w:firstLine="0" w:firstLineChars="0"/>
              <w:jc w:val="center"/>
              <w:rPr>
                <w:color w:val="000000"/>
                <w:kern w:val="0"/>
                <w:sz w:val="24"/>
              </w:rPr>
            </w:pPr>
            <w:r>
              <w:rPr>
                <w:color w:val="000000"/>
                <w:kern w:val="0"/>
                <w:sz w:val="24"/>
              </w:rPr>
              <w:t>财务总监、副总经理（负责综合管理）</w:t>
            </w:r>
          </w:p>
        </w:tc>
        <w:tc>
          <w:tcPr>
            <w:tcW w:w="1760" w:type="dxa"/>
            <w:vAlign w:val="center"/>
          </w:tcPr>
          <w:p>
            <w:pPr>
              <w:overflowPunct w:val="0"/>
              <w:snapToGrid w:val="0"/>
              <w:ind w:firstLine="0" w:firstLineChars="0"/>
              <w:jc w:val="center"/>
              <w:rPr>
                <w:color w:val="000000"/>
                <w:kern w:val="0"/>
                <w:sz w:val="24"/>
              </w:rPr>
            </w:pPr>
            <w:r>
              <w:rPr>
                <w:color w:val="000000"/>
                <w:kern w:val="0"/>
                <w:sz w:val="24"/>
              </w:rPr>
              <w:t>20</w:t>
            </w:r>
          </w:p>
        </w:tc>
        <w:tc>
          <w:tcPr>
            <w:tcW w:w="5558" w:type="dxa"/>
            <w:vAlign w:val="center"/>
          </w:tcPr>
          <w:p>
            <w:pPr>
              <w:overflowPunct w:val="0"/>
              <w:snapToGrid w:val="0"/>
              <w:ind w:firstLine="0" w:firstLineChars="0"/>
              <w:rPr>
                <w:color w:val="000000"/>
                <w:kern w:val="0"/>
                <w:sz w:val="24"/>
              </w:rPr>
            </w:pPr>
            <w:r>
              <w:rPr>
                <w:color w:val="000000"/>
                <w:kern w:val="0"/>
                <w:sz w:val="24"/>
              </w:rPr>
              <w:t>80分：完成雄安公司组织架构设计及岗位编制制定、制度流程建设、督办事项完成率</w:t>
            </w:r>
          </w:p>
        </w:tc>
      </w:tr>
    </w:tbl>
    <w:p>
      <w:pPr>
        <w:keepNext/>
        <w:keepLines/>
        <w:tabs>
          <w:tab w:val="left" w:pos="1276"/>
          <w:tab w:val="left" w:pos="1560"/>
        </w:tabs>
        <w:overflowPunct w:val="0"/>
        <w:ind w:firstLine="676"/>
        <w:outlineLvl w:val="3"/>
        <w:rPr>
          <w:color w:val="000000"/>
          <w:szCs w:val="32"/>
        </w:rPr>
      </w:pPr>
      <w:r>
        <w:rPr>
          <w:color w:val="000000"/>
          <w:szCs w:val="32"/>
        </w:rPr>
        <w:t>3.任期经营业绩考核</w:t>
      </w:r>
    </w:p>
    <w:p>
      <w:pPr>
        <w:overflowPunct w:val="0"/>
        <w:spacing w:line="560" w:lineRule="exact"/>
        <w:ind w:firstLine="676"/>
        <w:rPr>
          <w:color w:val="000000"/>
          <w:kern w:val="0"/>
          <w:szCs w:val="32"/>
        </w:rPr>
      </w:pPr>
      <w:r>
        <w:rPr>
          <w:color w:val="000000"/>
          <w:kern w:val="0"/>
          <w:szCs w:val="32"/>
        </w:rPr>
        <w:t>任期经营业绩考核以职业经理人任期为考核期，与任期届满当年年度考核一并进行。</w:t>
      </w:r>
    </w:p>
    <w:p>
      <w:pPr>
        <w:overflowPunct w:val="0"/>
        <w:spacing w:line="560" w:lineRule="exact"/>
        <w:ind w:firstLine="676"/>
        <w:rPr>
          <w:kern w:val="0"/>
          <w:szCs w:val="32"/>
        </w:rPr>
      </w:pPr>
      <w:r>
        <w:rPr>
          <w:kern w:val="0"/>
          <w:szCs w:val="32"/>
        </w:rPr>
        <w:t>（1）总经理：任期考核重点关注企业中长期发展战略、可持续发展能力、业务布局。雄安公司总经理考核维度包括经营业绩指标、战略重点工作，分别占比60%，40%。</w:t>
      </w:r>
    </w:p>
    <w:p>
      <w:pPr>
        <w:overflowPunct w:val="0"/>
        <w:spacing w:line="560" w:lineRule="exact"/>
        <w:ind w:firstLine="676"/>
        <w:rPr>
          <w:color w:val="000000"/>
          <w:kern w:val="0"/>
          <w:szCs w:val="32"/>
        </w:rPr>
      </w:pPr>
      <w:r>
        <w:rPr>
          <w:color w:val="000000"/>
          <w:kern w:val="0"/>
          <w:szCs w:val="32"/>
        </w:rPr>
        <w:t>（2）其他职业经理人：由总经理任期经营业绩考核结果、任期岗位关键业绩指标、任期内年度考核结果，权重分别为20%、60%、20%。</w:t>
      </w:r>
    </w:p>
    <w:p>
      <w:pPr>
        <w:keepNext/>
        <w:keepLines/>
        <w:tabs>
          <w:tab w:val="left" w:pos="1276"/>
          <w:tab w:val="left" w:pos="1560"/>
        </w:tabs>
        <w:overflowPunct w:val="0"/>
        <w:ind w:firstLine="676"/>
        <w:outlineLvl w:val="3"/>
        <w:rPr>
          <w:color w:val="000000"/>
          <w:szCs w:val="32"/>
        </w:rPr>
      </w:pPr>
      <w:r>
        <w:rPr>
          <w:rFonts w:hint="eastAsia"/>
          <w:color w:val="000000"/>
          <w:szCs w:val="32"/>
        </w:rPr>
        <w:t>4</w:t>
      </w:r>
      <w:r>
        <w:rPr>
          <w:color w:val="000000"/>
          <w:szCs w:val="32"/>
        </w:rPr>
        <w:t>.指标计分规则</w:t>
      </w:r>
    </w:p>
    <w:p>
      <w:pPr>
        <w:overflowPunct w:val="0"/>
        <w:ind w:firstLine="676"/>
        <w:rPr>
          <w:color w:val="000000"/>
          <w:kern w:val="0"/>
          <w:szCs w:val="32"/>
        </w:rPr>
      </w:pPr>
      <w:r>
        <w:rPr>
          <w:color w:val="000000"/>
          <w:kern w:val="0"/>
          <w:szCs w:val="32"/>
        </w:rPr>
        <w:t>对于量化类指标按照完成率计分，核心指标设置加分项，不设置保底分；专项任务类指标按照任务完成率进行计分。</w:t>
      </w:r>
    </w:p>
    <w:p>
      <w:pPr>
        <w:keepNext/>
        <w:keepLines/>
        <w:tabs>
          <w:tab w:val="left" w:pos="1276"/>
          <w:tab w:val="left" w:pos="1560"/>
        </w:tabs>
        <w:overflowPunct w:val="0"/>
        <w:ind w:firstLine="676"/>
        <w:outlineLvl w:val="3"/>
        <w:rPr>
          <w:color w:val="000000"/>
          <w:szCs w:val="32"/>
        </w:rPr>
      </w:pPr>
      <w:r>
        <w:rPr>
          <w:rFonts w:hint="eastAsia"/>
          <w:color w:val="000000"/>
          <w:szCs w:val="32"/>
        </w:rPr>
        <w:t>5</w:t>
      </w:r>
      <w:r>
        <w:rPr>
          <w:color w:val="000000"/>
          <w:szCs w:val="32"/>
        </w:rPr>
        <w:t>.考核等级划分</w:t>
      </w:r>
    </w:p>
    <w:p>
      <w:pPr>
        <w:overflowPunct w:val="0"/>
        <w:ind w:firstLine="676"/>
        <w:rPr>
          <w:color w:val="000000"/>
          <w:kern w:val="0"/>
          <w:szCs w:val="32"/>
        </w:rPr>
      </w:pPr>
      <w:r>
        <w:rPr>
          <w:color w:val="000000"/>
          <w:kern w:val="0"/>
          <w:szCs w:val="32"/>
        </w:rPr>
        <w:t>试用期、年度及任期经营业绩考核结果分为优秀、良好、合格、不合格四个等级。</w:t>
      </w:r>
    </w:p>
    <w:p>
      <w:pPr>
        <w:overflowPunct w:val="0"/>
        <w:ind w:firstLine="676"/>
        <w:rPr>
          <w:color w:val="000000"/>
          <w:kern w:val="0"/>
          <w:szCs w:val="32"/>
        </w:rPr>
      </w:pPr>
      <w:r>
        <w:rPr>
          <w:color w:val="000000"/>
          <w:kern w:val="0"/>
          <w:szCs w:val="32"/>
        </w:rPr>
        <w:t>其他职业经理人个人年度及任期经营业绩考核初始结果核定与考核分数挂钩，最终根据总经理经营业绩考核结果确定。</w:t>
      </w:r>
    </w:p>
    <w:p>
      <w:pPr>
        <w:overflowPunct w:val="0"/>
        <w:spacing w:after="200" w:line="560" w:lineRule="exact"/>
        <w:ind w:firstLine="482" w:firstLineChars="0"/>
        <w:jc w:val="center"/>
        <w:rPr>
          <w:rFonts w:eastAsia="楷体_GB2312"/>
          <w:b/>
          <w:bCs/>
          <w:color w:val="000000"/>
          <w:kern w:val="0"/>
          <w:sz w:val="30"/>
          <w:szCs w:val="30"/>
        </w:rPr>
      </w:pPr>
      <w:r>
        <w:rPr>
          <w:rFonts w:eastAsia="楷体_GB2312"/>
          <w:b/>
          <w:bCs/>
          <w:color w:val="000000"/>
          <w:kern w:val="0"/>
          <w:sz w:val="30"/>
          <w:szCs w:val="30"/>
        </w:rPr>
        <w:t>表</w:t>
      </w:r>
      <w:r>
        <w:rPr>
          <w:rFonts w:hint="eastAsia" w:eastAsia="楷体_GB2312"/>
          <w:b/>
          <w:bCs/>
          <w:color w:val="000000"/>
          <w:kern w:val="0"/>
          <w:sz w:val="30"/>
          <w:szCs w:val="30"/>
        </w:rPr>
        <w:t>3</w:t>
      </w:r>
      <w:r>
        <w:rPr>
          <w:rFonts w:eastAsia="楷体_GB2312"/>
          <w:b/>
          <w:bCs/>
          <w:color w:val="000000"/>
          <w:kern w:val="0"/>
          <w:sz w:val="30"/>
          <w:szCs w:val="30"/>
        </w:rPr>
        <w:t>：考核分数及等级划分</w:t>
      </w:r>
    </w:p>
    <w:tbl>
      <w:tblPr>
        <w:tblStyle w:val="22"/>
        <w:tblW w:w="900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1"/>
        <w:gridCol w:w="5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091" w:type="dxa"/>
            <w:shd w:val="clear" w:color="auto" w:fill="BDD6EE"/>
            <w:vAlign w:val="center"/>
          </w:tcPr>
          <w:p>
            <w:pPr>
              <w:overflowPunct w:val="0"/>
              <w:snapToGrid w:val="0"/>
              <w:ind w:firstLine="442" w:firstLineChars="0"/>
              <w:jc w:val="center"/>
              <w:rPr>
                <w:b/>
                <w:bCs/>
                <w:color w:val="000000"/>
                <w:kern w:val="0"/>
                <w:sz w:val="24"/>
              </w:rPr>
            </w:pPr>
            <w:r>
              <w:rPr>
                <w:b/>
                <w:bCs/>
                <w:color w:val="000000"/>
                <w:kern w:val="0"/>
                <w:sz w:val="24"/>
              </w:rPr>
              <w:t>初始考核等级</w:t>
            </w:r>
          </w:p>
        </w:tc>
        <w:tc>
          <w:tcPr>
            <w:tcW w:w="5916" w:type="dxa"/>
            <w:shd w:val="clear" w:color="auto" w:fill="BDD6EE"/>
            <w:vAlign w:val="center"/>
          </w:tcPr>
          <w:p>
            <w:pPr>
              <w:overflowPunct w:val="0"/>
              <w:snapToGrid w:val="0"/>
              <w:ind w:firstLine="442" w:firstLineChars="0"/>
              <w:jc w:val="center"/>
              <w:rPr>
                <w:b/>
                <w:bCs/>
                <w:color w:val="000000"/>
                <w:kern w:val="0"/>
                <w:sz w:val="24"/>
              </w:rPr>
            </w:pPr>
            <w:r>
              <w:rPr>
                <w:b/>
                <w:bCs/>
                <w:color w:val="000000"/>
                <w:kern w:val="0"/>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1" w:type="dxa"/>
            <w:vAlign w:val="center"/>
          </w:tcPr>
          <w:p>
            <w:pPr>
              <w:overflowPunct w:val="0"/>
              <w:snapToGrid w:val="0"/>
              <w:ind w:firstLine="440" w:firstLineChars="0"/>
              <w:jc w:val="center"/>
              <w:rPr>
                <w:color w:val="000000"/>
                <w:kern w:val="0"/>
                <w:sz w:val="24"/>
              </w:rPr>
            </w:pPr>
            <w:r>
              <w:rPr>
                <w:color w:val="000000"/>
                <w:kern w:val="0"/>
                <w:sz w:val="24"/>
              </w:rPr>
              <w:t>优秀</w:t>
            </w:r>
          </w:p>
        </w:tc>
        <w:tc>
          <w:tcPr>
            <w:tcW w:w="5916" w:type="dxa"/>
            <w:vAlign w:val="center"/>
          </w:tcPr>
          <w:p>
            <w:pPr>
              <w:overflowPunct w:val="0"/>
              <w:snapToGrid w:val="0"/>
              <w:ind w:firstLine="440" w:firstLineChars="0"/>
              <w:jc w:val="center"/>
              <w:rPr>
                <w:color w:val="000000"/>
                <w:kern w:val="0"/>
                <w:sz w:val="24"/>
              </w:rPr>
            </w:pPr>
            <w:r>
              <w:rPr>
                <w:color w:val="000000"/>
                <w:kern w:val="0"/>
                <w:sz w:val="24"/>
              </w:rPr>
              <w:t>100分（含）</w:t>
            </w:r>
            <w:r>
              <w:rPr>
                <w:rFonts w:hint="eastAsia"/>
                <w:color w:val="000000"/>
                <w:kern w:val="0"/>
                <w:sz w:val="24"/>
              </w:rPr>
              <w:t>—</w:t>
            </w:r>
            <w:r>
              <w:rPr>
                <w:color w:val="000000"/>
                <w:kern w:val="0"/>
                <w:sz w:val="24"/>
              </w:rPr>
              <w:t>120分（含）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1" w:type="dxa"/>
            <w:vAlign w:val="center"/>
          </w:tcPr>
          <w:p>
            <w:pPr>
              <w:overflowPunct w:val="0"/>
              <w:snapToGrid w:val="0"/>
              <w:ind w:firstLine="440" w:firstLineChars="0"/>
              <w:jc w:val="center"/>
              <w:rPr>
                <w:color w:val="000000"/>
                <w:kern w:val="0"/>
                <w:sz w:val="24"/>
              </w:rPr>
            </w:pPr>
            <w:r>
              <w:rPr>
                <w:color w:val="000000"/>
                <w:kern w:val="0"/>
                <w:sz w:val="24"/>
              </w:rPr>
              <w:t>良好</w:t>
            </w:r>
          </w:p>
        </w:tc>
        <w:tc>
          <w:tcPr>
            <w:tcW w:w="5916" w:type="dxa"/>
            <w:vAlign w:val="center"/>
          </w:tcPr>
          <w:p>
            <w:pPr>
              <w:overflowPunct w:val="0"/>
              <w:snapToGrid w:val="0"/>
              <w:ind w:firstLine="440" w:firstLineChars="0"/>
              <w:jc w:val="center"/>
              <w:rPr>
                <w:color w:val="000000"/>
                <w:kern w:val="0"/>
                <w:sz w:val="24"/>
              </w:rPr>
            </w:pPr>
            <w:r>
              <w:rPr>
                <w:color w:val="000000"/>
                <w:kern w:val="0"/>
                <w:sz w:val="24"/>
              </w:rPr>
              <w:t>90（含）</w:t>
            </w:r>
            <w:r>
              <w:rPr>
                <w:rFonts w:hint="eastAsia"/>
                <w:color w:val="000000"/>
                <w:kern w:val="0"/>
                <w:sz w:val="24"/>
              </w:rPr>
              <w:t>—</w:t>
            </w:r>
            <w:r>
              <w:rPr>
                <w:color w:val="000000"/>
                <w:kern w:val="0"/>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1" w:type="dxa"/>
            <w:vAlign w:val="center"/>
          </w:tcPr>
          <w:p>
            <w:pPr>
              <w:overflowPunct w:val="0"/>
              <w:snapToGrid w:val="0"/>
              <w:ind w:firstLine="440" w:firstLineChars="0"/>
              <w:jc w:val="center"/>
              <w:rPr>
                <w:color w:val="000000"/>
                <w:kern w:val="0"/>
                <w:sz w:val="24"/>
              </w:rPr>
            </w:pPr>
            <w:r>
              <w:rPr>
                <w:color w:val="000000"/>
                <w:kern w:val="0"/>
                <w:sz w:val="24"/>
              </w:rPr>
              <w:t>合格</w:t>
            </w:r>
          </w:p>
        </w:tc>
        <w:tc>
          <w:tcPr>
            <w:tcW w:w="5916" w:type="dxa"/>
            <w:vAlign w:val="center"/>
          </w:tcPr>
          <w:p>
            <w:pPr>
              <w:overflowPunct w:val="0"/>
              <w:snapToGrid w:val="0"/>
              <w:ind w:firstLine="440" w:firstLineChars="0"/>
              <w:jc w:val="center"/>
              <w:rPr>
                <w:color w:val="000000"/>
                <w:kern w:val="0"/>
                <w:sz w:val="24"/>
              </w:rPr>
            </w:pPr>
            <w:r>
              <w:rPr>
                <w:color w:val="000000"/>
                <w:kern w:val="0"/>
                <w:sz w:val="24"/>
              </w:rPr>
              <w:t>80分（含）</w:t>
            </w:r>
            <w:r>
              <w:rPr>
                <w:rFonts w:hint="eastAsia"/>
                <w:color w:val="000000"/>
                <w:kern w:val="0"/>
                <w:sz w:val="24"/>
              </w:rPr>
              <w:t>—</w:t>
            </w:r>
            <w:r>
              <w:rPr>
                <w:color w:val="000000"/>
                <w:kern w:val="0"/>
                <w:sz w:val="24"/>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1" w:type="dxa"/>
            <w:vAlign w:val="center"/>
          </w:tcPr>
          <w:p>
            <w:pPr>
              <w:overflowPunct w:val="0"/>
              <w:snapToGrid w:val="0"/>
              <w:ind w:firstLine="440" w:firstLineChars="0"/>
              <w:jc w:val="center"/>
              <w:rPr>
                <w:color w:val="000000"/>
                <w:kern w:val="0"/>
                <w:sz w:val="24"/>
              </w:rPr>
            </w:pPr>
            <w:r>
              <w:rPr>
                <w:color w:val="000000"/>
                <w:kern w:val="0"/>
                <w:sz w:val="24"/>
              </w:rPr>
              <w:t>不合格</w:t>
            </w:r>
          </w:p>
        </w:tc>
        <w:tc>
          <w:tcPr>
            <w:tcW w:w="5916" w:type="dxa"/>
            <w:vAlign w:val="center"/>
          </w:tcPr>
          <w:p>
            <w:pPr>
              <w:overflowPunct w:val="0"/>
              <w:snapToGrid w:val="0"/>
              <w:ind w:firstLine="440" w:firstLineChars="0"/>
              <w:jc w:val="center"/>
              <w:rPr>
                <w:color w:val="000000"/>
                <w:kern w:val="0"/>
                <w:sz w:val="24"/>
              </w:rPr>
            </w:pPr>
            <w:r>
              <w:rPr>
                <w:color w:val="000000"/>
                <w:kern w:val="0"/>
                <w:sz w:val="24"/>
              </w:rPr>
              <w:t>80分以下</w:t>
            </w:r>
          </w:p>
        </w:tc>
      </w:tr>
    </w:tbl>
    <w:p>
      <w:pPr>
        <w:overflowPunct w:val="0"/>
        <w:spacing w:after="200" w:line="560" w:lineRule="exact"/>
        <w:ind w:firstLine="482" w:firstLineChars="0"/>
        <w:jc w:val="center"/>
        <w:rPr>
          <w:rFonts w:eastAsia="楷体_GB2312"/>
          <w:b/>
          <w:bCs/>
          <w:color w:val="000000"/>
          <w:kern w:val="0"/>
          <w:sz w:val="30"/>
          <w:szCs w:val="30"/>
        </w:rPr>
      </w:pPr>
      <w:r>
        <w:rPr>
          <w:rFonts w:eastAsia="楷体_GB2312"/>
          <w:b/>
          <w:bCs/>
          <w:color w:val="000000"/>
          <w:kern w:val="0"/>
          <w:sz w:val="30"/>
          <w:szCs w:val="30"/>
        </w:rPr>
        <w:t>表</w:t>
      </w:r>
      <w:r>
        <w:rPr>
          <w:rFonts w:hint="eastAsia" w:eastAsia="楷体_GB2312"/>
          <w:b/>
          <w:bCs/>
          <w:color w:val="000000"/>
          <w:kern w:val="0"/>
          <w:sz w:val="30"/>
          <w:szCs w:val="30"/>
        </w:rPr>
        <w:t>4</w:t>
      </w:r>
      <w:r>
        <w:rPr>
          <w:rFonts w:eastAsia="楷体_GB2312"/>
          <w:b/>
          <w:bCs/>
          <w:color w:val="000000"/>
          <w:kern w:val="0"/>
          <w:sz w:val="30"/>
          <w:szCs w:val="30"/>
        </w:rPr>
        <w:t>：职业经理人考核等级比例表</w:t>
      </w:r>
    </w:p>
    <w:tbl>
      <w:tblPr>
        <w:tblStyle w:val="22"/>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2841" w:type="dxa"/>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总经理经营业绩考核等级</w:t>
            </w:r>
          </w:p>
        </w:tc>
        <w:tc>
          <w:tcPr>
            <w:tcW w:w="6091" w:type="dxa"/>
            <w:shd w:val="clear" w:color="auto" w:fill="BDD6EE"/>
            <w:vAlign w:val="center"/>
          </w:tcPr>
          <w:p>
            <w:pPr>
              <w:overflowPunct w:val="0"/>
              <w:snapToGrid w:val="0"/>
              <w:ind w:firstLine="0" w:firstLineChars="0"/>
              <w:jc w:val="left"/>
              <w:rPr>
                <w:b/>
                <w:bCs/>
                <w:color w:val="000000"/>
                <w:kern w:val="0"/>
                <w:sz w:val="24"/>
              </w:rPr>
            </w:pPr>
            <w:r>
              <w:rPr>
                <w:b/>
                <w:bCs/>
                <w:color w:val="000000"/>
                <w:kern w:val="0"/>
                <w:sz w:val="24"/>
              </w:rPr>
              <w:t>其他职业经理人经营业绩考核等级比例规定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841" w:type="dxa"/>
            <w:shd w:val="clear" w:color="auto" w:fill="auto"/>
            <w:vAlign w:val="center"/>
          </w:tcPr>
          <w:p>
            <w:pPr>
              <w:overflowPunct w:val="0"/>
              <w:snapToGrid w:val="0"/>
              <w:ind w:firstLine="0" w:firstLineChars="0"/>
              <w:jc w:val="center"/>
              <w:rPr>
                <w:color w:val="000000"/>
                <w:kern w:val="0"/>
                <w:sz w:val="24"/>
              </w:rPr>
            </w:pPr>
            <w:r>
              <w:rPr>
                <w:color w:val="000000"/>
                <w:kern w:val="0"/>
                <w:sz w:val="24"/>
              </w:rPr>
              <w:t>优秀</w:t>
            </w:r>
          </w:p>
        </w:tc>
        <w:tc>
          <w:tcPr>
            <w:tcW w:w="6091" w:type="dxa"/>
            <w:vAlign w:val="center"/>
          </w:tcPr>
          <w:p>
            <w:pPr>
              <w:overflowPunct w:val="0"/>
              <w:snapToGrid w:val="0"/>
              <w:ind w:firstLine="0" w:firstLineChars="0"/>
              <w:jc w:val="left"/>
              <w:rPr>
                <w:color w:val="000000"/>
                <w:kern w:val="0"/>
                <w:sz w:val="24"/>
              </w:rPr>
            </w:pPr>
            <w:r>
              <w:rPr>
                <w:color w:val="000000"/>
                <w:kern w:val="0"/>
                <w:sz w:val="24"/>
              </w:rPr>
              <w:t xml:space="preserve">原则上优秀比例不高于70%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841" w:type="dxa"/>
            <w:shd w:val="clear" w:color="auto" w:fill="auto"/>
            <w:vAlign w:val="center"/>
          </w:tcPr>
          <w:p>
            <w:pPr>
              <w:overflowPunct w:val="0"/>
              <w:snapToGrid w:val="0"/>
              <w:ind w:firstLine="0" w:firstLineChars="0"/>
              <w:jc w:val="center"/>
              <w:rPr>
                <w:color w:val="000000"/>
                <w:kern w:val="0"/>
                <w:sz w:val="24"/>
              </w:rPr>
            </w:pPr>
            <w:r>
              <w:rPr>
                <w:color w:val="000000"/>
                <w:kern w:val="0"/>
                <w:sz w:val="24"/>
              </w:rPr>
              <w:t>良好</w:t>
            </w:r>
          </w:p>
        </w:tc>
        <w:tc>
          <w:tcPr>
            <w:tcW w:w="6091" w:type="dxa"/>
            <w:vAlign w:val="center"/>
          </w:tcPr>
          <w:p>
            <w:pPr>
              <w:overflowPunct w:val="0"/>
              <w:snapToGrid w:val="0"/>
              <w:ind w:firstLine="0" w:firstLineChars="0"/>
              <w:jc w:val="left"/>
              <w:rPr>
                <w:color w:val="000000"/>
                <w:kern w:val="0"/>
                <w:sz w:val="24"/>
              </w:rPr>
            </w:pPr>
            <w:r>
              <w:rPr>
                <w:color w:val="000000"/>
                <w:kern w:val="0"/>
                <w:sz w:val="24"/>
              </w:rPr>
              <w:t xml:space="preserve">原则上优秀比例不高于20%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841" w:type="dxa"/>
            <w:shd w:val="clear" w:color="auto" w:fill="auto"/>
            <w:vAlign w:val="center"/>
          </w:tcPr>
          <w:p>
            <w:pPr>
              <w:overflowPunct w:val="0"/>
              <w:snapToGrid w:val="0"/>
              <w:ind w:firstLine="0" w:firstLineChars="0"/>
              <w:jc w:val="center"/>
              <w:rPr>
                <w:color w:val="000000"/>
                <w:kern w:val="0"/>
                <w:sz w:val="24"/>
              </w:rPr>
            </w:pPr>
            <w:r>
              <w:rPr>
                <w:color w:val="000000"/>
                <w:kern w:val="0"/>
                <w:sz w:val="24"/>
              </w:rPr>
              <w:t>合格</w:t>
            </w:r>
          </w:p>
        </w:tc>
        <w:tc>
          <w:tcPr>
            <w:tcW w:w="6091" w:type="dxa"/>
            <w:vAlign w:val="center"/>
          </w:tcPr>
          <w:p>
            <w:pPr>
              <w:overflowPunct w:val="0"/>
              <w:snapToGrid w:val="0"/>
              <w:ind w:firstLine="0" w:firstLineChars="0"/>
              <w:jc w:val="left"/>
              <w:rPr>
                <w:color w:val="000000"/>
                <w:kern w:val="0"/>
                <w:sz w:val="24"/>
              </w:rPr>
            </w:pPr>
            <w:r>
              <w:rPr>
                <w:color w:val="000000"/>
                <w:kern w:val="0"/>
                <w:sz w:val="24"/>
              </w:rPr>
              <w:t>原则上不能评为优秀，良好的比例不高于40%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841" w:type="dxa"/>
            <w:vAlign w:val="center"/>
          </w:tcPr>
          <w:p>
            <w:pPr>
              <w:overflowPunct w:val="0"/>
              <w:snapToGrid w:val="0"/>
              <w:ind w:firstLine="0" w:firstLineChars="0"/>
              <w:jc w:val="center"/>
              <w:rPr>
                <w:color w:val="000000"/>
                <w:kern w:val="0"/>
                <w:sz w:val="24"/>
              </w:rPr>
            </w:pPr>
            <w:r>
              <w:rPr>
                <w:color w:val="000000"/>
                <w:kern w:val="0"/>
                <w:sz w:val="24"/>
              </w:rPr>
              <w:t>不合格</w:t>
            </w:r>
          </w:p>
        </w:tc>
        <w:tc>
          <w:tcPr>
            <w:tcW w:w="6091" w:type="dxa"/>
            <w:vAlign w:val="center"/>
          </w:tcPr>
          <w:p>
            <w:pPr>
              <w:overflowPunct w:val="0"/>
              <w:snapToGrid w:val="0"/>
              <w:ind w:firstLine="0" w:firstLineChars="0"/>
              <w:jc w:val="left"/>
              <w:rPr>
                <w:color w:val="000000"/>
                <w:kern w:val="0"/>
                <w:sz w:val="24"/>
              </w:rPr>
            </w:pPr>
            <w:r>
              <w:rPr>
                <w:color w:val="000000"/>
                <w:kern w:val="0"/>
                <w:sz w:val="24"/>
              </w:rPr>
              <w:t>原则上不能评为优秀和良好，合格的比例不高于40%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932" w:type="dxa"/>
            <w:gridSpan w:val="2"/>
            <w:vAlign w:val="center"/>
          </w:tcPr>
          <w:p>
            <w:pPr>
              <w:overflowPunct w:val="0"/>
              <w:snapToGrid w:val="0"/>
              <w:ind w:firstLine="0" w:firstLineChars="0"/>
              <w:jc w:val="left"/>
              <w:rPr>
                <w:color w:val="000000"/>
                <w:kern w:val="0"/>
                <w:sz w:val="24"/>
              </w:rPr>
            </w:pPr>
            <w:r>
              <w:rPr>
                <w:color w:val="000000"/>
                <w:kern w:val="0"/>
                <w:sz w:val="24"/>
              </w:rPr>
              <w:t>注：若考核得分一致，按照主要指标完成情况、综合考核评价得分进行确定等级。</w:t>
            </w:r>
          </w:p>
        </w:tc>
      </w:tr>
    </w:tbl>
    <w:p>
      <w:pPr>
        <w:overflowPunct w:val="0"/>
        <w:ind w:firstLine="676"/>
        <w:outlineLvl w:val="1"/>
        <w:rPr>
          <w:rFonts w:eastAsia="黑体"/>
          <w:color w:val="000000"/>
          <w:szCs w:val="36"/>
        </w:rPr>
      </w:pPr>
      <w:r>
        <w:rPr>
          <w:rFonts w:hint="eastAsia" w:eastAsia="黑体"/>
          <w:color w:val="000000"/>
          <w:szCs w:val="36"/>
        </w:rPr>
        <w:t>三、薪酬待遇及兑现</w:t>
      </w:r>
    </w:p>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w:t>
      </w:r>
      <w:r>
        <w:rPr>
          <w:rFonts w:hint="eastAsia" w:ascii="Times New Roman" w:hAnsi="Times New Roman" w:eastAsia="楷体_GB2312" w:cs="Times New Roman"/>
          <w:bCs w:val="0"/>
          <w:color w:val="000000" w:themeColor="text1"/>
          <w14:textFill>
            <w14:solidFill>
              <w14:schemeClr w14:val="tx1"/>
            </w14:solidFill>
          </w14:textFill>
        </w:rPr>
        <w:t>一</w:t>
      </w:r>
      <w:r>
        <w:rPr>
          <w:rFonts w:ascii="Times New Roman" w:hAnsi="Times New Roman" w:eastAsia="楷体_GB2312" w:cs="Times New Roman"/>
          <w:bCs w:val="0"/>
          <w:color w:val="000000" w:themeColor="text1"/>
          <w14:textFill>
            <w14:solidFill>
              <w14:schemeClr w14:val="tx1"/>
            </w14:solidFill>
          </w14:textFill>
        </w:rPr>
        <w:t>）</w:t>
      </w:r>
      <w:r>
        <w:rPr>
          <w:rFonts w:hint="eastAsia" w:ascii="Times New Roman" w:hAnsi="Times New Roman" w:eastAsia="楷体_GB2312" w:cs="Times New Roman"/>
          <w:bCs w:val="0"/>
          <w:color w:val="000000" w:themeColor="text1"/>
          <w14:textFill>
            <w14:solidFill>
              <w14:schemeClr w14:val="tx1"/>
            </w14:solidFill>
          </w14:textFill>
        </w:rPr>
        <w:t>薪酬水平</w:t>
      </w:r>
    </w:p>
    <w:p>
      <w:pPr>
        <w:ind w:firstLine="676"/>
      </w:pPr>
      <w:r>
        <w:rPr>
          <w:color w:val="000000" w:themeColor="text1"/>
          <w:szCs w:val="32"/>
          <w14:textFill>
            <w14:solidFill>
              <w14:schemeClr w14:val="tx1"/>
            </w14:solidFill>
          </w14:textFill>
        </w:rPr>
        <w:t>职业经理人薪酬总水平应按照</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业绩与薪酬双对标</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原则，根据行业特点、企业发展战略目标、经营业绩、市场同类可比人员薪酬水平等因素，由</w:t>
      </w:r>
      <w:r>
        <w:rPr>
          <w:rFonts w:hint="eastAsia"/>
          <w:color w:val="000000" w:themeColor="text1"/>
          <w:szCs w:val="32"/>
          <w14:textFill>
            <w14:solidFill>
              <w14:schemeClr w14:val="tx1"/>
            </w14:solidFill>
          </w14:textFill>
        </w:rPr>
        <w:t>子企业</w:t>
      </w:r>
      <w:r>
        <w:rPr>
          <w:color w:val="000000" w:themeColor="text1"/>
          <w:szCs w:val="32"/>
          <w14:textFill>
            <w14:solidFill>
              <w14:schemeClr w14:val="tx1"/>
            </w14:solidFill>
          </w14:textFill>
        </w:rPr>
        <w:t>董事会与职业经理人协商确定。</w:t>
      </w:r>
    </w:p>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w:t>
      </w:r>
      <w:r>
        <w:rPr>
          <w:rFonts w:hint="eastAsia" w:ascii="Times New Roman" w:hAnsi="Times New Roman" w:eastAsia="楷体_GB2312" w:cs="Times New Roman"/>
          <w:bCs w:val="0"/>
          <w:color w:val="000000" w:themeColor="text1"/>
          <w14:textFill>
            <w14:solidFill>
              <w14:schemeClr w14:val="tx1"/>
            </w14:solidFill>
          </w14:textFill>
        </w:rPr>
        <w:t>二</w:t>
      </w:r>
      <w:r>
        <w:rPr>
          <w:rFonts w:ascii="Times New Roman" w:hAnsi="Times New Roman" w:eastAsia="楷体_GB2312" w:cs="Times New Roman"/>
          <w:bCs w:val="0"/>
          <w:color w:val="000000" w:themeColor="text1"/>
          <w14:textFill>
            <w14:solidFill>
              <w14:schemeClr w14:val="tx1"/>
            </w14:solidFill>
          </w14:textFill>
        </w:rPr>
        <w:t>）</w:t>
      </w:r>
      <w:r>
        <w:rPr>
          <w:rFonts w:hint="eastAsia" w:ascii="Times New Roman" w:hAnsi="Times New Roman" w:eastAsia="楷体_GB2312" w:cs="Times New Roman"/>
          <w:bCs w:val="0"/>
          <w:color w:val="000000" w:themeColor="text1"/>
          <w14:textFill>
            <w14:solidFill>
              <w14:schemeClr w14:val="tx1"/>
            </w14:solidFill>
          </w14:textFill>
        </w:rPr>
        <w:t>薪酬结构</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职业经理人薪酬由基本年薪、绩效年薪、任期激励收入</w:t>
      </w:r>
      <w:r>
        <w:rPr>
          <w:rFonts w:hint="eastAsia"/>
          <w:color w:val="000000" w:themeColor="text1"/>
          <w:szCs w:val="32"/>
          <w14:textFill>
            <w14:solidFill>
              <w14:schemeClr w14:val="tx1"/>
            </w14:solidFill>
          </w14:textFill>
        </w:rPr>
        <w:t>、战略达标奖</w:t>
      </w:r>
      <w:r>
        <w:rPr>
          <w:color w:val="000000" w:themeColor="text1"/>
          <w:szCs w:val="32"/>
          <w14:textFill>
            <w14:solidFill>
              <w14:schemeClr w14:val="tx1"/>
            </w14:solidFill>
          </w14:textFill>
        </w:rPr>
        <w:t>等组成。</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1.基本年薪是年度基本收入，基本年薪占年度薪酬（基本年薪与绩效年薪）的比例为40%。</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2.绩效年薪是与年度经营业绩考核相挂钩的浮动收入，绩效年薪基数占年度薪酬（基本年薪与绩效年薪）的比例为60%。核定方式为：</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绩效年薪=绩效年薪基数×年度经营业绩考核兑现系数</w:t>
      </w:r>
    </w:p>
    <w:p>
      <w:pPr>
        <w:overflowPunct w:val="0"/>
        <w:spacing w:after="200" w:line="560" w:lineRule="exact"/>
        <w:ind w:firstLine="482" w:firstLineChars="0"/>
        <w:jc w:val="center"/>
        <w:rPr>
          <w:rFonts w:eastAsia="楷体_GB2312"/>
          <w:b/>
          <w:bCs/>
          <w:color w:val="000000"/>
          <w:kern w:val="0"/>
          <w:sz w:val="30"/>
          <w:szCs w:val="30"/>
        </w:rPr>
      </w:pPr>
      <w:r>
        <w:rPr>
          <w:rFonts w:eastAsia="楷体_GB2312"/>
          <w:b/>
          <w:bCs/>
          <w:color w:val="000000"/>
          <w:kern w:val="0"/>
          <w:sz w:val="30"/>
          <w:szCs w:val="30"/>
        </w:rPr>
        <w:t>表</w:t>
      </w:r>
      <w:r>
        <w:rPr>
          <w:rFonts w:hint="eastAsia" w:eastAsia="楷体_GB2312"/>
          <w:b/>
          <w:bCs/>
          <w:color w:val="000000"/>
          <w:kern w:val="0"/>
          <w:sz w:val="30"/>
          <w:szCs w:val="30"/>
        </w:rPr>
        <w:t>5</w:t>
      </w:r>
      <w:r>
        <w:rPr>
          <w:rFonts w:eastAsia="楷体_GB2312"/>
          <w:b/>
          <w:bCs/>
          <w:color w:val="000000"/>
          <w:kern w:val="0"/>
          <w:sz w:val="30"/>
          <w:szCs w:val="30"/>
        </w:rPr>
        <w:t>：经营业绩考核兑现系数</w:t>
      </w:r>
    </w:p>
    <w:tbl>
      <w:tblPr>
        <w:tblStyle w:val="22"/>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3440"/>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1719" w:type="dxa"/>
            <w:tcBorders>
              <w:bottom w:val="single" w:color="auto" w:sz="4" w:space="0"/>
            </w:tcBorders>
            <w:shd w:val="clear" w:color="auto" w:fill="BDD6EE"/>
            <w:vAlign w:val="center"/>
          </w:tcPr>
          <w:p>
            <w:pPr>
              <w:overflowPunct w:val="0"/>
              <w:ind w:firstLine="0" w:firstLineChars="0"/>
              <w:jc w:val="center"/>
              <w:rPr>
                <w:b/>
                <w:bCs/>
                <w:color w:val="000000"/>
                <w:kern w:val="0"/>
                <w:sz w:val="24"/>
              </w:rPr>
            </w:pPr>
            <w:r>
              <w:rPr>
                <w:b/>
                <w:bCs/>
                <w:color w:val="000000"/>
                <w:kern w:val="0"/>
                <w:sz w:val="24"/>
              </w:rPr>
              <w:t>考核等级</w:t>
            </w:r>
          </w:p>
        </w:tc>
        <w:tc>
          <w:tcPr>
            <w:tcW w:w="3440" w:type="dxa"/>
            <w:tcBorders>
              <w:bottom w:val="single" w:color="auto" w:sz="4" w:space="0"/>
            </w:tcBorders>
            <w:shd w:val="clear" w:color="auto" w:fill="BDD6EE"/>
            <w:vAlign w:val="center"/>
          </w:tcPr>
          <w:p>
            <w:pPr>
              <w:overflowPunct w:val="0"/>
              <w:ind w:firstLine="209" w:firstLineChars="82"/>
              <w:jc w:val="center"/>
              <w:rPr>
                <w:b/>
                <w:bCs/>
                <w:color w:val="000000"/>
                <w:kern w:val="0"/>
                <w:sz w:val="24"/>
              </w:rPr>
            </w:pPr>
            <w:r>
              <w:rPr>
                <w:b/>
                <w:bCs/>
                <w:color w:val="000000"/>
                <w:kern w:val="0"/>
                <w:sz w:val="24"/>
              </w:rPr>
              <w:t>考核得分</w:t>
            </w:r>
          </w:p>
        </w:tc>
        <w:tc>
          <w:tcPr>
            <w:tcW w:w="3295" w:type="dxa"/>
            <w:tcBorders>
              <w:bottom w:val="single" w:color="auto" w:sz="4" w:space="0"/>
            </w:tcBorders>
            <w:shd w:val="clear" w:color="auto" w:fill="BDD6EE"/>
            <w:vAlign w:val="center"/>
          </w:tcPr>
          <w:p>
            <w:pPr>
              <w:overflowPunct w:val="0"/>
              <w:ind w:firstLine="0" w:firstLineChars="0"/>
              <w:jc w:val="center"/>
              <w:rPr>
                <w:b/>
                <w:bCs/>
                <w:color w:val="000000"/>
                <w:kern w:val="0"/>
                <w:sz w:val="24"/>
              </w:rPr>
            </w:pPr>
            <w:r>
              <w:rPr>
                <w:b/>
                <w:bCs/>
                <w:color w:val="000000"/>
                <w:kern w:val="0"/>
                <w:sz w:val="24"/>
              </w:rPr>
              <w:t>年度经营业绩考核兑现系数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19" w:type="dxa"/>
            <w:vAlign w:val="center"/>
          </w:tcPr>
          <w:p>
            <w:pPr>
              <w:overflowPunct w:val="0"/>
              <w:ind w:firstLine="0" w:firstLineChars="0"/>
              <w:jc w:val="center"/>
              <w:rPr>
                <w:color w:val="000000"/>
                <w:kern w:val="0"/>
                <w:sz w:val="24"/>
              </w:rPr>
            </w:pPr>
            <w:r>
              <w:rPr>
                <w:color w:val="000000"/>
                <w:kern w:val="0"/>
                <w:sz w:val="24"/>
              </w:rPr>
              <w:t>优秀</w:t>
            </w:r>
          </w:p>
        </w:tc>
        <w:tc>
          <w:tcPr>
            <w:tcW w:w="3440" w:type="dxa"/>
            <w:tcMar>
              <w:top w:w="0" w:type="dxa"/>
              <w:left w:w="57" w:type="dxa"/>
              <w:bottom w:w="0" w:type="dxa"/>
              <w:right w:w="57" w:type="dxa"/>
            </w:tcMar>
            <w:vAlign w:val="center"/>
          </w:tcPr>
          <w:p>
            <w:pPr>
              <w:overflowPunct w:val="0"/>
              <w:ind w:firstLine="0" w:firstLineChars="0"/>
              <w:jc w:val="center"/>
              <w:rPr>
                <w:color w:val="000000"/>
                <w:kern w:val="0"/>
                <w:sz w:val="24"/>
              </w:rPr>
            </w:pPr>
            <w:r>
              <w:rPr>
                <w:color w:val="000000"/>
                <w:kern w:val="0"/>
                <w:sz w:val="24"/>
              </w:rPr>
              <w:t>100分（含）</w:t>
            </w:r>
            <w:r>
              <w:rPr>
                <w:rFonts w:hint="eastAsia"/>
                <w:color w:val="000000"/>
                <w:kern w:val="0"/>
                <w:sz w:val="24"/>
              </w:rPr>
              <w:t>—</w:t>
            </w:r>
            <w:r>
              <w:rPr>
                <w:color w:val="000000"/>
                <w:kern w:val="0"/>
                <w:sz w:val="24"/>
              </w:rPr>
              <w:t>120分（含）</w:t>
            </w:r>
          </w:p>
        </w:tc>
        <w:tc>
          <w:tcPr>
            <w:tcW w:w="3295" w:type="dxa"/>
            <w:vAlign w:val="center"/>
          </w:tcPr>
          <w:p>
            <w:pPr>
              <w:overflowPunct w:val="0"/>
              <w:ind w:firstLine="0" w:firstLineChars="0"/>
              <w:jc w:val="center"/>
              <w:rPr>
                <w:color w:val="000000"/>
                <w:kern w:val="0"/>
                <w:sz w:val="24"/>
              </w:rPr>
            </w:pPr>
            <w:r>
              <w:rPr>
                <w:color w:val="000000"/>
                <w:kern w:val="0"/>
                <w:sz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19" w:type="dxa"/>
            <w:vAlign w:val="center"/>
          </w:tcPr>
          <w:p>
            <w:pPr>
              <w:overflowPunct w:val="0"/>
              <w:ind w:firstLine="0" w:firstLineChars="0"/>
              <w:jc w:val="center"/>
              <w:rPr>
                <w:color w:val="000000"/>
                <w:kern w:val="0"/>
                <w:sz w:val="24"/>
              </w:rPr>
            </w:pPr>
            <w:r>
              <w:rPr>
                <w:color w:val="000000"/>
                <w:kern w:val="0"/>
                <w:sz w:val="24"/>
              </w:rPr>
              <w:t>良好</w:t>
            </w:r>
          </w:p>
        </w:tc>
        <w:tc>
          <w:tcPr>
            <w:tcW w:w="3440" w:type="dxa"/>
            <w:tcMar>
              <w:top w:w="0" w:type="dxa"/>
              <w:left w:w="57" w:type="dxa"/>
              <w:bottom w:w="0" w:type="dxa"/>
              <w:right w:w="57" w:type="dxa"/>
            </w:tcMar>
            <w:vAlign w:val="center"/>
          </w:tcPr>
          <w:p>
            <w:pPr>
              <w:overflowPunct w:val="0"/>
              <w:ind w:firstLine="0" w:firstLineChars="0"/>
              <w:jc w:val="center"/>
              <w:rPr>
                <w:color w:val="000000"/>
                <w:kern w:val="0"/>
                <w:sz w:val="24"/>
              </w:rPr>
            </w:pPr>
            <w:r>
              <w:rPr>
                <w:color w:val="000000"/>
                <w:kern w:val="0"/>
                <w:sz w:val="24"/>
              </w:rPr>
              <w:t>90（含）</w:t>
            </w:r>
            <w:r>
              <w:rPr>
                <w:rFonts w:hint="eastAsia"/>
                <w:color w:val="000000"/>
                <w:kern w:val="0"/>
                <w:sz w:val="24"/>
              </w:rPr>
              <w:t>—</w:t>
            </w:r>
            <w:r>
              <w:rPr>
                <w:color w:val="000000"/>
                <w:kern w:val="0"/>
                <w:sz w:val="24"/>
              </w:rPr>
              <w:t>100分</w:t>
            </w:r>
          </w:p>
        </w:tc>
        <w:tc>
          <w:tcPr>
            <w:tcW w:w="3295" w:type="dxa"/>
            <w:vAlign w:val="center"/>
          </w:tcPr>
          <w:p>
            <w:pPr>
              <w:overflowPunct w:val="0"/>
              <w:ind w:firstLine="0" w:firstLineChars="0"/>
              <w:jc w:val="center"/>
              <w:rPr>
                <w:color w:val="000000"/>
                <w:kern w:val="0"/>
                <w:sz w:val="24"/>
              </w:rPr>
            </w:pPr>
            <w:r>
              <w:rPr>
                <w:color w:val="000000"/>
                <w:kern w:val="0"/>
                <w:sz w:val="24"/>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19" w:type="dxa"/>
            <w:vAlign w:val="center"/>
          </w:tcPr>
          <w:p>
            <w:pPr>
              <w:overflowPunct w:val="0"/>
              <w:ind w:firstLine="0" w:firstLineChars="0"/>
              <w:jc w:val="center"/>
              <w:rPr>
                <w:color w:val="000000"/>
                <w:kern w:val="0"/>
                <w:sz w:val="24"/>
              </w:rPr>
            </w:pPr>
            <w:r>
              <w:rPr>
                <w:color w:val="000000"/>
                <w:kern w:val="0"/>
                <w:sz w:val="24"/>
              </w:rPr>
              <w:t>合格</w:t>
            </w:r>
          </w:p>
        </w:tc>
        <w:tc>
          <w:tcPr>
            <w:tcW w:w="3440" w:type="dxa"/>
            <w:tcMar>
              <w:top w:w="0" w:type="dxa"/>
              <w:left w:w="57" w:type="dxa"/>
              <w:bottom w:w="0" w:type="dxa"/>
              <w:right w:w="57" w:type="dxa"/>
            </w:tcMar>
            <w:vAlign w:val="center"/>
          </w:tcPr>
          <w:p>
            <w:pPr>
              <w:overflowPunct w:val="0"/>
              <w:ind w:firstLine="0" w:firstLineChars="0"/>
              <w:jc w:val="center"/>
              <w:rPr>
                <w:color w:val="000000"/>
                <w:kern w:val="0"/>
                <w:sz w:val="24"/>
              </w:rPr>
            </w:pPr>
            <w:r>
              <w:rPr>
                <w:color w:val="000000"/>
                <w:kern w:val="0"/>
                <w:sz w:val="24"/>
              </w:rPr>
              <w:t>80分（含）</w:t>
            </w:r>
            <w:r>
              <w:rPr>
                <w:rFonts w:hint="eastAsia"/>
                <w:color w:val="000000"/>
                <w:kern w:val="0"/>
                <w:sz w:val="24"/>
              </w:rPr>
              <w:t>—</w:t>
            </w:r>
            <w:r>
              <w:rPr>
                <w:color w:val="000000"/>
                <w:kern w:val="0"/>
                <w:sz w:val="24"/>
              </w:rPr>
              <w:t>90分</w:t>
            </w:r>
          </w:p>
        </w:tc>
        <w:tc>
          <w:tcPr>
            <w:tcW w:w="3295" w:type="dxa"/>
            <w:vAlign w:val="center"/>
          </w:tcPr>
          <w:p>
            <w:pPr>
              <w:overflowPunct w:val="0"/>
              <w:ind w:firstLine="0" w:firstLineChars="0"/>
              <w:jc w:val="center"/>
              <w:rPr>
                <w:color w:val="000000"/>
                <w:kern w:val="0"/>
                <w:sz w:val="24"/>
              </w:rPr>
            </w:pPr>
            <w:r>
              <w:rPr>
                <w:color w:val="000000"/>
                <w:kern w:val="0"/>
                <w:sz w:val="24"/>
              </w:rPr>
              <w:t>[0.6，0.8）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19" w:type="dxa"/>
            <w:tcBorders>
              <w:bottom w:val="single" w:color="auto" w:sz="4" w:space="0"/>
            </w:tcBorders>
            <w:vAlign w:val="center"/>
          </w:tcPr>
          <w:p>
            <w:pPr>
              <w:overflowPunct w:val="0"/>
              <w:ind w:firstLine="0" w:firstLineChars="0"/>
              <w:jc w:val="center"/>
              <w:rPr>
                <w:color w:val="000000"/>
                <w:kern w:val="0"/>
                <w:sz w:val="24"/>
              </w:rPr>
            </w:pPr>
            <w:r>
              <w:rPr>
                <w:color w:val="000000"/>
                <w:kern w:val="0"/>
                <w:sz w:val="24"/>
              </w:rPr>
              <w:t>不合格</w:t>
            </w:r>
          </w:p>
        </w:tc>
        <w:tc>
          <w:tcPr>
            <w:tcW w:w="3440" w:type="dxa"/>
            <w:tcBorders>
              <w:bottom w:val="single" w:color="auto" w:sz="4" w:space="0"/>
            </w:tcBorders>
            <w:tcMar>
              <w:top w:w="0" w:type="dxa"/>
              <w:left w:w="57" w:type="dxa"/>
              <w:bottom w:w="0" w:type="dxa"/>
              <w:right w:w="57" w:type="dxa"/>
            </w:tcMar>
            <w:vAlign w:val="center"/>
          </w:tcPr>
          <w:p>
            <w:pPr>
              <w:overflowPunct w:val="0"/>
              <w:ind w:firstLine="0" w:firstLineChars="0"/>
              <w:jc w:val="center"/>
              <w:rPr>
                <w:color w:val="000000"/>
                <w:kern w:val="0"/>
                <w:sz w:val="24"/>
              </w:rPr>
            </w:pPr>
            <w:r>
              <w:rPr>
                <w:color w:val="000000"/>
                <w:kern w:val="0"/>
                <w:sz w:val="24"/>
              </w:rPr>
              <w:t>80分以下</w:t>
            </w:r>
          </w:p>
        </w:tc>
        <w:tc>
          <w:tcPr>
            <w:tcW w:w="3295" w:type="dxa"/>
            <w:tcBorders>
              <w:bottom w:val="single" w:color="auto" w:sz="4" w:space="0"/>
            </w:tcBorders>
            <w:vAlign w:val="center"/>
          </w:tcPr>
          <w:p>
            <w:pPr>
              <w:overflowPunct w:val="0"/>
              <w:ind w:firstLine="213" w:firstLineChars="83"/>
              <w:jc w:val="center"/>
              <w:rPr>
                <w:color w:val="000000"/>
                <w:kern w:val="0"/>
                <w:sz w:val="24"/>
              </w:rPr>
            </w:pPr>
            <w:r>
              <w:rPr>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4"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240" w:lineRule="exact"/>
              <w:ind w:firstLine="0" w:firstLineChars="0"/>
              <w:jc w:val="left"/>
              <w:rPr>
                <w:color w:val="000000"/>
                <w:kern w:val="0"/>
                <w:sz w:val="24"/>
              </w:rPr>
            </w:pPr>
            <w:r>
              <w:rPr>
                <w:color w:val="000000"/>
                <w:kern w:val="0"/>
                <w:sz w:val="24"/>
              </w:rPr>
              <w:t>注：最终考核等级若低于按考核得分初始核定等级，考核兑现系数按照最终考核等级中的最高兑现系数确定。</w:t>
            </w:r>
          </w:p>
        </w:tc>
      </w:tr>
    </w:tbl>
    <w:p>
      <w:pPr>
        <w:overflowPunct w:val="0"/>
        <w:spacing w:line="560" w:lineRule="exact"/>
        <w:ind w:firstLine="676"/>
        <w:rPr>
          <w:color w:val="000000"/>
          <w:kern w:val="0"/>
          <w:szCs w:val="32"/>
        </w:rPr>
      </w:pPr>
      <w:r>
        <w:rPr>
          <w:color w:val="000000"/>
          <w:kern w:val="0"/>
          <w:szCs w:val="32"/>
        </w:rPr>
        <w:t>3.任期激励收入：任期激励收入是与任期经营业绩考核结果相联系的薪酬收入。根据任期考核评价结果，在不超过职业经理人任期内年薪总水平的30%以内确定。核定方式为：</w:t>
      </w:r>
    </w:p>
    <w:p>
      <w:pPr>
        <w:overflowPunct w:val="0"/>
        <w:spacing w:line="560" w:lineRule="exact"/>
        <w:ind w:firstLine="676"/>
        <w:rPr>
          <w:color w:val="000000"/>
          <w:kern w:val="0"/>
          <w:szCs w:val="32"/>
        </w:rPr>
      </w:pPr>
      <w:r>
        <w:rPr>
          <w:color w:val="000000"/>
          <w:kern w:val="0"/>
          <w:szCs w:val="32"/>
        </w:rPr>
        <w:t>任期激励收入=任期内三年的年薪总水平之和×30%×任期经营业绩考核兑现系数，即：W任期=(W1+W2+W3)×30%×任期经营业绩考核系数。其中：Wl、W2、W3分别为任期内第一年、第二年、第三年的年度薪酬。</w:t>
      </w:r>
    </w:p>
    <w:p>
      <w:pPr>
        <w:overflowPunct w:val="0"/>
        <w:spacing w:after="200" w:line="560" w:lineRule="exact"/>
        <w:ind w:firstLine="482" w:firstLineChars="0"/>
        <w:jc w:val="center"/>
        <w:rPr>
          <w:rFonts w:eastAsia="楷体_GB2312"/>
          <w:b/>
          <w:bCs/>
          <w:color w:val="000000"/>
          <w:kern w:val="0"/>
          <w:sz w:val="30"/>
          <w:szCs w:val="30"/>
        </w:rPr>
      </w:pPr>
      <w:r>
        <w:rPr>
          <w:rFonts w:eastAsia="楷体_GB2312"/>
          <w:b/>
          <w:bCs/>
          <w:color w:val="000000"/>
          <w:kern w:val="0"/>
          <w:sz w:val="30"/>
          <w:szCs w:val="30"/>
        </w:rPr>
        <w:t>表</w:t>
      </w:r>
      <w:r>
        <w:rPr>
          <w:rFonts w:hint="eastAsia" w:eastAsia="楷体_GB2312"/>
          <w:b/>
          <w:bCs/>
          <w:color w:val="000000"/>
          <w:kern w:val="0"/>
          <w:sz w:val="30"/>
          <w:szCs w:val="30"/>
        </w:rPr>
        <w:t>6</w:t>
      </w:r>
      <w:r>
        <w:rPr>
          <w:rFonts w:eastAsia="楷体_GB2312"/>
          <w:b/>
          <w:bCs/>
          <w:color w:val="000000"/>
          <w:kern w:val="0"/>
          <w:sz w:val="30"/>
          <w:szCs w:val="30"/>
        </w:rPr>
        <w:t>：任期经营业绩考核兑现系数</w:t>
      </w:r>
    </w:p>
    <w:tbl>
      <w:tblPr>
        <w:tblStyle w:val="22"/>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3119"/>
        <w:gridCol w:w="3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2033" w:type="dxa"/>
            <w:tcBorders>
              <w:bottom w:val="single" w:color="auto" w:sz="4" w:space="0"/>
            </w:tcBorders>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考核等级</w:t>
            </w:r>
          </w:p>
        </w:tc>
        <w:tc>
          <w:tcPr>
            <w:tcW w:w="3119" w:type="dxa"/>
            <w:tcBorders>
              <w:bottom w:val="single" w:color="auto" w:sz="4" w:space="0"/>
            </w:tcBorders>
            <w:shd w:val="clear" w:color="auto" w:fill="BDD6EE"/>
            <w:vAlign w:val="center"/>
          </w:tcPr>
          <w:p>
            <w:pPr>
              <w:overflowPunct w:val="0"/>
              <w:snapToGrid w:val="0"/>
              <w:ind w:firstLine="209" w:firstLineChars="82"/>
              <w:jc w:val="center"/>
              <w:rPr>
                <w:b/>
                <w:bCs/>
                <w:color w:val="000000"/>
                <w:kern w:val="0"/>
                <w:sz w:val="24"/>
              </w:rPr>
            </w:pPr>
            <w:r>
              <w:rPr>
                <w:b/>
                <w:bCs/>
                <w:color w:val="000000"/>
                <w:kern w:val="0"/>
                <w:sz w:val="24"/>
              </w:rPr>
              <w:t>考核得分</w:t>
            </w:r>
          </w:p>
        </w:tc>
        <w:tc>
          <w:tcPr>
            <w:tcW w:w="3644" w:type="dxa"/>
            <w:tcBorders>
              <w:bottom w:val="single" w:color="auto" w:sz="4" w:space="0"/>
            </w:tcBorders>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任期经营业绩考核兑现系数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033" w:type="dxa"/>
            <w:vAlign w:val="center"/>
          </w:tcPr>
          <w:p>
            <w:pPr>
              <w:overflowPunct w:val="0"/>
              <w:snapToGrid w:val="0"/>
              <w:ind w:firstLine="0" w:firstLineChars="0"/>
              <w:jc w:val="center"/>
              <w:rPr>
                <w:color w:val="000000"/>
                <w:kern w:val="0"/>
                <w:sz w:val="24"/>
              </w:rPr>
            </w:pPr>
            <w:r>
              <w:rPr>
                <w:color w:val="000000"/>
                <w:kern w:val="0"/>
                <w:sz w:val="24"/>
              </w:rPr>
              <w:t>优秀</w:t>
            </w:r>
          </w:p>
        </w:tc>
        <w:tc>
          <w:tcPr>
            <w:tcW w:w="3119" w:type="dxa"/>
            <w:tcMar>
              <w:top w:w="0" w:type="dxa"/>
              <w:left w:w="28" w:type="dxa"/>
              <w:bottom w:w="0" w:type="dxa"/>
              <w:right w:w="28" w:type="dxa"/>
            </w:tcMar>
            <w:vAlign w:val="center"/>
          </w:tcPr>
          <w:p>
            <w:pPr>
              <w:overflowPunct w:val="0"/>
              <w:ind w:firstLine="0" w:firstLineChars="0"/>
              <w:jc w:val="center"/>
              <w:rPr>
                <w:color w:val="000000"/>
                <w:kern w:val="0"/>
                <w:sz w:val="24"/>
              </w:rPr>
            </w:pPr>
            <w:r>
              <w:rPr>
                <w:color w:val="000000"/>
                <w:kern w:val="0"/>
                <w:sz w:val="24"/>
              </w:rPr>
              <w:t>100分（含）-120分（含）</w:t>
            </w:r>
          </w:p>
        </w:tc>
        <w:tc>
          <w:tcPr>
            <w:tcW w:w="3644" w:type="dxa"/>
            <w:vAlign w:val="center"/>
          </w:tcPr>
          <w:p>
            <w:pPr>
              <w:overflowPunct w:val="0"/>
              <w:snapToGrid w:val="0"/>
              <w:ind w:firstLine="0" w:firstLineChars="0"/>
              <w:jc w:val="center"/>
              <w:rPr>
                <w:color w:val="000000"/>
                <w:kern w:val="0"/>
                <w:sz w:val="24"/>
              </w:rPr>
            </w:pPr>
            <w:r>
              <w:rPr>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33" w:type="dxa"/>
            <w:vAlign w:val="center"/>
          </w:tcPr>
          <w:p>
            <w:pPr>
              <w:overflowPunct w:val="0"/>
              <w:snapToGrid w:val="0"/>
              <w:ind w:firstLine="0" w:firstLineChars="0"/>
              <w:jc w:val="center"/>
              <w:rPr>
                <w:color w:val="000000"/>
                <w:kern w:val="0"/>
                <w:sz w:val="24"/>
              </w:rPr>
            </w:pPr>
            <w:r>
              <w:rPr>
                <w:color w:val="000000"/>
                <w:kern w:val="0"/>
                <w:sz w:val="24"/>
              </w:rPr>
              <w:t>良好</w:t>
            </w:r>
          </w:p>
        </w:tc>
        <w:tc>
          <w:tcPr>
            <w:tcW w:w="3119" w:type="dxa"/>
            <w:tcMar>
              <w:top w:w="0" w:type="dxa"/>
              <w:left w:w="28" w:type="dxa"/>
              <w:bottom w:w="0" w:type="dxa"/>
              <w:right w:w="28" w:type="dxa"/>
            </w:tcMar>
            <w:vAlign w:val="center"/>
          </w:tcPr>
          <w:p>
            <w:pPr>
              <w:overflowPunct w:val="0"/>
              <w:snapToGrid w:val="0"/>
              <w:ind w:firstLine="0" w:firstLineChars="0"/>
              <w:jc w:val="center"/>
              <w:rPr>
                <w:color w:val="000000"/>
                <w:kern w:val="0"/>
                <w:sz w:val="24"/>
              </w:rPr>
            </w:pPr>
            <w:r>
              <w:rPr>
                <w:color w:val="000000"/>
                <w:kern w:val="0"/>
                <w:sz w:val="24"/>
              </w:rPr>
              <w:t>90（含）-100分</w:t>
            </w:r>
          </w:p>
        </w:tc>
        <w:tc>
          <w:tcPr>
            <w:tcW w:w="3644" w:type="dxa"/>
            <w:vAlign w:val="center"/>
          </w:tcPr>
          <w:p>
            <w:pPr>
              <w:overflowPunct w:val="0"/>
              <w:snapToGrid w:val="0"/>
              <w:ind w:firstLine="0" w:firstLineChars="0"/>
              <w:jc w:val="center"/>
              <w:rPr>
                <w:color w:val="000000"/>
                <w:kern w:val="0"/>
                <w:sz w:val="24"/>
              </w:rPr>
            </w:pPr>
            <w:r>
              <w:rPr>
                <w:color w:val="000000"/>
                <w:kern w:val="0"/>
                <w:sz w:val="24"/>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033" w:type="dxa"/>
            <w:vAlign w:val="center"/>
          </w:tcPr>
          <w:p>
            <w:pPr>
              <w:overflowPunct w:val="0"/>
              <w:snapToGrid w:val="0"/>
              <w:ind w:firstLine="0" w:firstLineChars="0"/>
              <w:jc w:val="center"/>
              <w:rPr>
                <w:color w:val="000000"/>
                <w:kern w:val="0"/>
                <w:sz w:val="24"/>
              </w:rPr>
            </w:pPr>
            <w:r>
              <w:rPr>
                <w:color w:val="000000"/>
                <w:kern w:val="0"/>
                <w:sz w:val="24"/>
              </w:rPr>
              <w:t>合格</w:t>
            </w:r>
          </w:p>
        </w:tc>
        <w:tc>
          <w:tcPr>
            <w:tcW w:w="3119" w:type="dxa"/>
            <w:tcMar>
              <w:top w:w="0" w:type="dxa"/>
              <w:left w:w="28" w:type="dxa"/>
              <w:bottom w:w="0" w:type="dxa"/>
              <w:right w:w="28" w:type="dxa"/>
            </w:tcMar>
            <w:vAlign w:val="center"/>
          </w:tcPr>
          <w:p>
            <w:pPr>
              <w:overflowPunct w:val="0"/>
              <w:snapToGrid w:val="0"/>
              <w:ind w:firstLine="0" w:firstLineChars="0"/>
              <w:jc w:val="center"/>
              <w:rPr>
                <w:color w:val="000000"/>
                <w:kern w:val="0"/>
                <w:sz w:val="24"/>
              </w:rPr>
            </w:pPr>
            <w:r>
              <w:rPr>
                <w:color w:val="000000"/>
                <w:kern w:val="0"/>
                <w:sz w:val="24"/>
              </w:rPr>
              <w:t>80分（含）-90分</w:t>
            </w:r>
          </w:p>
        </w:tc>
        <w:tc>
          <w:tcPr>
            <w:tcW w:w="3644" w:type="dxa"/>
            <w:vAlign w:val="center"/>
          </w:tcPr>
          <w:p>
            <w:pPr>
              <w:overflowPunct w:val="0"/>
              <w:snapToGrid w:val="0"/>
              <w:ind w:firstLine="0" w:firstLineChars="0"/>
              <w:jc w:val="center"/>
              <w:rPr>
                <w:color w:val="000000"/>
                <w:kern w:val="0"/>
                <w:sz w:val="24"/>
              </w:rPr>
            </w:pPr>
            <w:r>
              <w:rPr>
                <w:color w:val="000000"/>
                <w:kern w:val="0"/>
                <w:sz w:val="24"/>
              </w:rPr>
              <w:t>[0.6，0.8）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033" w:type="dxa"/>
            <w:tcBorders>
              <w:bottom w:val="single" w:color="auto" w:sz="4" w:space="0"/>
            </w:tcBorders>
            <w:vAlign w:val="center"/>
          </w:tcPr>
          <w:p>
            <w:pPr>
              <w:overflowPunct w:val="0"/>
              <w:snapToGrid w:val="0"/>
              <w:ind w:firstLine="0" w:firstLineChars="0"/>
              <w:jc w:val="center"/>
              <w:rPr>
                <w:color w:val="000000"/>
                <w:kern w:val="0"/>
                <w:sz w:val="24"/>
              </w:rPr>
            </w:pPr>
            <w:r>
              <w:rPr>
                <w:color w:val="000000"/>
                <w:kern w:val="0"/>
                <w:sz w:val="24"/>
              </w:rPr>
              <w:t>不合格</w:t>
            </w:r>
          </w:p>
        </w:tc>
        <w:tc>
          <w:tcPr>
            <w:tcW w:w="3119" w:type="dxa"/>
            <w:tcBorders>
              <w:bottom w:val="single" w:color="auto" w:sz="4" w:space="0"/>
            </w:tcBorders>
            <w:tcMar>
              <w:top w:w="0" w:type="dxa"/>
              <w:left w:w="28" w:type="dxa"/>
              <w:bottom w:w="0" w:type="dxa"/>
              <w:right w:w="28" w:type="dxa"/>
            </w:tcMar>
            <w:vAlign w:val="center"/>
          </w:tcPr>
          <w:p>
            <w:pPr>
              <w:overflowPunct w:val="0"/>
              <w:snapToGrid w:val="0"/>
              <w:ind w:firstLine="0" w:firstLineChars="0"/>
              <w:jc w:val="center"/>
              <w:rPr>
                <w:color w:val="000000"/>
                <w:kern w:val="0"/>
                <w:sz w:val="24"/>
              </w:rPr>
            </w:pPr>
            <w:r>
              <w:rPr>
                <w:color w:val="000000"/>
                <w:kern w:val="0"/>
                <w:sz w:val="24"/>
              </w:rPr>
              <w:t>80分以下</w:t>
            </w:r>
          </w:p>
        </w:tc>
        <w:tc>
          <w:tcPr>
            <w:tcW w:w="3644" w:type="dxa"/>
            <w:tcBorders>
              <w:bottom w:val="single" w:color="auto" w:sz="4" w:space="0"/>
            </w:tcBorders>
            <w:vAlign w:val="center"/>
          </w:tcPr>
          <w:p>
            <w:pPr>
              <w:overflowPunct w:val="0"/>
              <w:snapToGrid w:val="0"/>
              <w:ind w:firstLine="213" w:firstLineChars="83"/>
              <w:jc w:val="center"/>
              <w:rPr>
                <w:color w:val="000000"/>
                <w:kern w:val="0"/>
                <w:sz w:val="24"/>
              </w:rPr>
            </w:pPr>
            <w:r>
              <w:rPr>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96"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ind w:firstLine="0" w:firstLineChars="0"/>
              <w:jc w:val="left"/>
              <w:rPr>
                <w:color w:val="000000"/>
                <w:kern w:val="0"/>
                <w:sz w:val="24"/>
              </w:rPr>
            </w:pPr>
            <w:r>
              <w:rPr>
                <w:color w:val="000000"/>
                <w:kern w:val="0"/>
                <w:sz w:val="24"/>
              </w:rPr>
              <w:t>注：最终考核等级若低于按考核得分初始核定等级，考核兑现系数按照最终考核等级中的最高兑现系数确定。</w:t>
            </w:r>
          </w:p>
        </w:tc>
      </w:tr>
    </w:tbl>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（三）薪酬管理</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1.薪酬兑现。基本年薪</w:t>
      </w:r>
      <w:bookmarkStart w:id="7" w:name="_Hlk15943000"/>
      <w:r>
        <w:rPr>
          <w:color w:val="000000" w:themeColor="text1"/>
          <w:szCs w:val="32"/>
          <w14:textFill>
            <w14:solidFill>
              <w14:schemeClr w14:val="tx1"/>
            </w14:solidFill>
          </w14:textFill>
        </w:rPr>
        <w:t>按月固定发放。</w:t>
      </w:r>
      <w:bookmarkEnd w:id="7"/>
      <w:r>
        <w:rPr>
          <w:color w:val="000000" w:themeColor="text1"/>
          <w:szCs w:val="32"/>
          <w14:textFill>
            <w14:solidFill>
              <w14:schemeClr w14:val="tx1"/>
            </w14:solidFill>
          </w14:textFill>
        </w:rPr>
        <w:t>绩效年薪、任期激励在经营业绩考核完成后兑现，不进行预发，其中任期激励实施延期支付，任期考核后三年内兑现，兑现比例分别为30%、30%、40%。</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2.</w:t>
      </w:r>
      <w:r>
        <w:rPr>
          <w:rFonts w:hint="eastAsia"/>
          <w:color w:val="000000" w:themeColor="text1"/>
          <w:szCs w:val="32"/>
          <w14:textFill>
            <w14:solidFill>
              <w14:schemeClr w14:val="tx1"/>
            </w14:solidFill>
          </w14:textFill>
        </w:rPr>
        <w:t>年度经营业绩考核不合格或按下述第四项市场化退出中规定的（一）退出条件应当退出岗位的，扣减当年全部绩效年薪。任期经营业绩考核不合格的，应当扣减全部任期激励。</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3.解除（终止）聘用和劳动关系后（聘期届满考核合格但不再续聘、因公调离、退休、身故等特殊原因的除外），原则上不得兑现当年绩效年薪、任期激励、专项激励、任期超额利润分享等。</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4.</w:t>
      </w:r>
      <w:bookmarkStart w:id="8" w:name="_Hlk109481983"/>
      <w:r>
        <w:rPr>
          <w:color w:val="000000" w:themeColor="text1"/>
          <w:szCs w:val="32"/>
          <w14:textFill>
            <w14:solidFill>
              <w14:schemeClr w14:val="tx1"/>
            </w14:solidFill>
          </w14:textFill>
        </w:rPr>
        <w:t>职业经理人在任期出现职责内风险损失，或在负责的业务领域出现重大违纪事件，给公司造成重大不良影响或造成国有资产流失的，董事会有权止付所有未支付部分，并保留根据《劳动合同法》等法律法规，将相应期限内已发放的绩效年薪部分或全部追回的权利。</w:t>
      </w:r>
      <w:bookmarkEnd w:id="8"/>
    </w:p>
    <w:p>
      <w:pPr>
        <w:overflowPunct w:val="0"/>
        <w:ind w:firstLine="676"/>
        <w:outlineLvl w:val="1"/>
        <w:rPr>
          <w:rFonts w:eastAsia="黑体"/>
          <w:color w:val="000000"/>
          <w:szCs w:val="36"/>
        </w:rPr>
      </w:pPr>
      <w:r>
        <w:rPr>
          <w:rFonts w:hint="eastAsia" w:eastAsia="黑体"/>
          <w:color w:val="000000"/>
          <w:szCs w:val="36"/>
        </w:rPr>
        <w:t>四、市场化退出</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建立职业经理人市场化退出机制，制定相关制度或在岗位聘任协议书中明确。</w:t>
      </w:r>
    </w:p>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（一）退出条件</w:t>
      </w:r>
    </w:p>
    <w:p>
      <w:pPr>
        <w:overflowPunct w:val="0"/>
        <w:ind w:firstLine="676"/>
        <w:rPr>
          <w:color w:val="000000" w:themeColor="text1"/>
          <w:szCs w:val="32"/>
          <w14:textFill>
            <w14:solidFill>
              <w14:schemeClr w14:val="tx1"/>
            </w14:solidFill>
          </w14:textFill>
        </w:rPr>
      </w:pPr>
      <w:bookmarkStart w:id="9" w:name="_Hlk108285404"/>
      <w:r>
        <w:rPr>
          <w:color w:val="000000" w:themeColor="text1"/>
          <w:szCs w:val="32"/>
          <w14:textFill>
            <w14:solidFill>
              <w14:schemeClr w14:val="tx1"/>
            </w14:solidFill>
          </w14:textFill>
        </w:rPr>
        <w:t>依据职业经理人岗位聘任协议书约定和经营业绩考核结果等，出现以下情形的，</w:t>
      </w:r>
      <w:bookmarkStart w:id="10" w:name="_Hlk110436945"/>
      <w:r>
        <w:rPr>
          <w:color w:val="000000" w:themeColor="text1"/>
          <w:szCs w:val="32"/>
          <w14:textFill>
            <w14:solidFill>
              <w14:schemeClr w14:val="tx1"/>
            </w14:solidFill>
          </w14:textFill>
        </w:rPr>
        <w:t>应解除（终止）聘任关系</w:t>
      </w:r>
      <w:bookmarkEnd w:id="10"/>
      <w:r>
        <w:rPr>
          <w:color w:val="000000" w:themeColor="text1"/>
          <w:szCs w:val="32"/>
          <w14:textFill>
            <w14:solidFill>
              <w14:schemeClr w14:val="tx1"/>
            </w14:solidFill>
          </w14:textFill>
        </w:rPr>
        <w:t>。</w:t>
      </w:r>
    </w:p>
    <w:bookmarkEnd w:id="9"/>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1.年度经营业绩考核结果未达到完成底线（低于70分），年度或任期经营业绩考核主要指标未达到完成底线（完成率低于70%）。</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2.聘任期限内累计两个年度经营业绩考核结果为不合格（低于80分）或任期经营业绩考核结果为不合格的（低于80分）。</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3.任期综合考核评价为不称职，或者在年度综合考核评价总经理得分连续两年靠后，其他经理层成员连续两年排名末位，经分析研判确属不胜任或者不适宜担任现职的。</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4.聘任期间对重大决策失误、重大资产损失、重大安全事故等负有重要领导责任，或对违规经营投资造成国有资产损失负有责任，按有关规定追责免职的。</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5.有违规违纪违法行为或严重违反社会公序良俗等其他原因，子企业董事会或</w:t>
      </w:r>
      <w:r>
        <w:rPr>
          <w:rFonts w:hint="eastAsia"/>
          <w:color w:val="000000" w:themeColor="text1"/>
          <w:szCs w:val="32"/>
          <w14:textFill>
            <w14:solidFill>
              <w14:schemeClr w14:val="tx1"/>
            </w14:solidFill>
          </w14:textFill>
        </w:rPr>
        <w:t>艾特斯</w:t>
      </w:r>
      <w:r>
        <w:rPr>
          <w:color w:val="000000" w:themeColor="text1"/>
          <w:szCs w:val="32"/>
          <w14:textFill>
            <w14:solidFill>
              <w14:schemeClr w14:val="tx1"/>
            </w14:solidFill>
          </w14:textFill>
        </w:rPr>
        <w:t>公司党委认为不适合在该岗位继续工作的。</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6.因健康原因无法正常履行工作职责的。</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7.聘期未满但双方协商一致解除聘任合同或者聘期届满不再续聘的。</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8.试用期内或试用期满，经试用发现或试用考核结果不适宜聘任的情形。</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9.子企业董事会或</w:t>
      </w:r>
      <w:r>
        <w:rPr>
          <w:rFonts w:hint="eastAsia"/>
        </w:rPr>
        <w:t>艾特斯</w:t>
      </w:r>
      <w:r>
        <w:rPr>
          <w:color w:val="000000" w:themeColor="text1"/>
          <w:szCs w:val="32"/>
          <w14:textFill>
            <w14:solidFill>
              <w14:schemeClr w14:val="tx1"/>
            </w14:solidFill>
          </w14:textFill>
        </w:rPr>
        <w:t>公司党委认定不适宜继续聘任的其他情形。</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对认定不胜任或不适宜担任现职的职业经理人，不得以任期未满为由继续留任，应当及时解聘，在职业经理人解除（终止）聘任关系的同时，如有党组织职务、董事会职务应当一并免去，</w:t>
      </w:r>
      <w:bookmarkStart w:id="11" w:name="_Hlk88573293"/>
      <w:r>
        <w:rPr>
          <w:color w:val="000000" w:themeColor="text1"/>
          <w:szCs w:val="32"/>
          <w14:textFill>
            <w14:solidFill>
              <w14:schemeClr w14:val="tx1"/>
            </w14:solidFill>
          </w14:textFill>
        </w:rPr>
        <w:t>并依法解除（终止）劳动关系</w:t>
      </w:r>
      <w:bookmarkEnd w:id="11"/>
      <w:r>
        <w:rPr>
          <w:color w:val="000000" w:themeColor="text1"/>
          <w:szCs w:val="32"/>
          <w14:textFill>
            <w14:solidFill>
              <w14:schemeClr w14:val="tx1"/>
            </w14:solidFill>
          </w14:textFill>
        </w:rPr>
        <w:t>。</w:t>
      </w:r>
    </w:p>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（二）退出程序</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1.个人请辞。市场化选聘的职业经理人在聘任合同期未满辞职或聘任合同期满自愿离职的，应当遵循协商原则，解除与企业的聘任合同。个人请辞的，应至少提前一个月以书面形式向董事会提出申请。</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2.企业解聘。市场化选聘的经理层成员聘任合同期未满或聘任合同期满后，拟解除聘任合同的，经子企业董事会在一定范围酝酿，商请</w:t>
      </w:r>
      <w:r>
        <w:rPr>
          <w:rFonts w:hint="eastAsia"/>
          <w:color w:val="000000" w:themeColor="text1"/>
          <w:szCs w:val="32"/>
          <w14:textFill>
            <w14:solidFill>
              <w14:schemeClr w14:val="tx1"/>
            </w14:solidFill>
          </w14:textFill>
        </w:rPr>
        <w:t>艾特斯</w:t>
      </w:r>
      <w:r>
        <w:rPr>
          <w:color w:val="000000" w:themeColor="text1"/>
          <w:szCs w:val="32"/>
          <w14:textFill>
            <w14:solidFill>
              <w14:schemeClr w14:val="tx1"/>
            </w14:solidFill>
          </w14:textFill>
        </w:rPr>
        <w:t>公司党委同意后，启动相关工作程序，并及时向</w:t>
      </w:r>
      <w:r>
        <w:rPr>
          <w:rFonts w:hint="eastAsia"/>
          <w:color w:val="000000" w:themeColor="text1"/>
          <w:szCs w:val="32"/>
          <w14:textFill>
            <w14:solidFill>
              <w14:schemeClr w14:val="tx1"/>
            </w14:solidFill>
          </w14:textFill>
        </w:rPr>
        <w:t>艾特斯</w:t>
      </w:r>
      <w:r>
        <w:rPr>
          <w:color w:val="000000" w:themeColor="text1"/>
          <w:szCs w:val="32"/>
          <w14:textFill>
            <w14:solidFill>
              <w14:schemeClr w14:val="tx1"/>
            </w14:solidFill>
          </w14:textFill>
        </w:rPr>
        <w:t>公司党委备案。</w:t>
      </w:r>
    </w:p>
    <w:p>
      <w:pPr>
        <w:pStyle w:val="4"/>
        <w:keepNext w:val="0"/>
        <w:keepLines w:val="0"/>
        <w:tabs>
          <w:tab w:val="left" w:pos="1276"/>
          <w:tab w:val="left" w:pos="1560"/>
        </w:tabs>
        <w:overflowPunct w:val="0"/>
        <w:spacing w:before="0" w:after="0"/>
        <w:ind w:firstLine="676"/>
        <w:rPr>
          <w:rFonts w:ascii="Times New Roman" w:hAnsi="Times New Roman" w:eastAsia="方正小标宋简体" w:cs="Times New Roman"/>
          <w:sz w:val="36"/>
          <w:szCs w:val="36"/>
          <w:lang w:bidi="en-US"/>
        </w:rPr>
      </w:pPr>
      <w:r>
        <w:rPr>
          <w:rFonts w:ascii="Times New Roman" w:hAnsi="Times New Roman" w:eastAsia="楷体_GB2312" w:cs="Times New Roman"/>
          <w:bCs w:val="0"/>
          <w:color w:val="000000" w:themeColor="text1"/>
          <w14:textFill>
            <w14:solidFill>
              <w14:schemeClr w14:val="tx1"/>
            </w14:solidFill>
          </w14:textFill>
        </w:rPr>
        <w:t>（三）市场化选聘职业经理人成员退休相关事宜按照国家和省有关政策执行。</w:t>
      </w:r>
    </w:p>
    <w:p>
      <w:pPr>
        <w:ind w:firstLine="0" w:firstLineChars="0"/>
        <w:rPr>
          <w:rFonts w:eastAsia="方正小标宋简体"/>
          <w:bCs/>
          <w:sz w:val="36"/>
          <w:szCs w:val="36"/>
          <w:lang w:bidi="en-US"/>
        </w:rPr>
      </w:pPr>
    </w:p>
    <w:p>
      <w:pPr>
        <w:ind w:firstLine="0" w:firstLineChars="0"/>
        <w:rPr>
          <w:rFonts w:eastAsia="方正小标宋简体"/>
          <w:bCs/>
          <w:sz w:val="36"/>
          <w:szCs w:val="36"/>
          <w:lang w:bidi="en-US"/>
        </w:rPr>
      </w:pPr>
    </w:p>
    <w:p>
      <w:pPr>
        <w:ind w:firstLine="0" w:firstLineChars="0"/>
        <w:rPr>
          <w:rFonts w:eastAsia="方正小标宋简体"/>
          <w:bCs/>
          <w:sz w:val="36"/>
          <w:szCs w:val="36"/>
          <w:lang w:bidi="en-US"/>
        </w:rPr>
      </w:pPr>
    </w:p>
    <w:p>
      <w:pPr>
        <w:ind w:firstLine="0" w:firstLineChars="0"/>
        <w:rPr>
          <w:rFonts w:eastAsia="方正小标宋简体"/>
          <w:bCs/>
          <w:sz w:val="36"/>
          <w:szCs w:val="36"/>
          <w:lang w:bidi="en-US"/>
        </w:rPr>
      </w:pPr>
    </w:p>
    <w:p>
      <w:pPr>
        <w:ind w:firstLine="0" w:firstLineChars="0"/>
        <w:rPr>
          <w:rFonts w:eastAsia="方正小标宋简体"/>
          <w:bCs/>
          <w:sz w:val="36"/>
          <w:szCs w:val="36"/>
          <w:lang w:bidi="en-US"/>
        </w:rPr>
      </w:pPr>
    </w:p>
    <w:p>
      <w:pPr>
        <w:ind w:firstLine="0" w:firstLineChars="0"/>
        <w:rPr>
          <w:rFonts w:eastAsia="方正小标宋简体"/>
          <w:bCs/>
          <w:sz w:val="36"/>
          <w:szCs w:val="36"/>
          <w:lang w:bidi="en-US"/>
        </w:rPr>
      </w:pPr>
    </w:p>
    <w:p>
      <w:pPr>
        <w:ind w:firstLine="0" w:firstLineChars="0"/>
        <w:rPr>
          <w:rFonts w:eastAsia="方正小标宋简体"/>
          <w:bCs/>
          <w:sz w:val="36"/>
          <w:szCs w:val="36"/>
          <w:lang w:bidi="en-US"/>
        </w:rPr>
      </w:pPr>
    </w:p>
    <w:p>
      <w:pPr>
        <w:ind w:firstLine="0" w:firstLineChars="0"/>
        <w:rPr>
          <w:rFonts w:eastAsia="方正小标宋简体"/>
          <w:bCs/>
          <w:sz w:val="36"/>
          <w:szCs w:val="36"/>
          <w:lang w:bidi="en-US"/>
        </w:rPr>
      </w:pPr>
    </w:p>
    <w:p>
      <w:pPr>
        <w:ind w:firstLine="0" w:firstLineChars="0"/>
        <w:rPr>
          <w:rFonts w:eastAsia="方正小标宋简体"/>
          <w:bCs/>
          <w:sz w:val="36"/>
          <w:szCs w:val="36"/>
          <w:lang w:bidi="en-US"/>
        </w:rPr>
      </w:pPr>
    </w:p>
    <w:p>
      <w:pPr>
        <w:ind w:firstLine="0" w:firstLineChars="0"/>
        <w:rPr>
          <w:rFonts w:eastAsia="方正小标宋简体"/>
          <w:bCs/>
          <w:sz w:val="36"/>
          <w:szCs w:val="36"/>
          <w:lang w:bidi="en-US"/>
        </w:rPr>
      </w:pPr>
    </w:p>
    <w:p>
      <w:pPr>
        <w:ind w:firstLine="0" w:firstLineChars="0"/>
        <w:rPr>
          <w:rFonts w:eastAsia="方正小标宋简体"/>
          <w:bCs/>
          <w:sz w:val="36"/>
          <w:szCs w:val="36"/>
          <w:lang w:bidi="en-US"/>
        </w:rPr>
      </w:pPr>
    </w:p>
    <w:p>
      <w:pPr>
        <w:ind w:firstLine="0" w:firstLineChars="0"/>
        <w:rPr>
          <w:rFonts w:eastAsia="方正小标宋简体"/>
          <w:bCs/>
          <w:sz w:val="36"/>
          <w:szCs w:val="36"/>
          <w:lang w:bidi="en-US"/>
        </w:rPr>
      </w:pPr>
    </w:p>
    <w:p>
      <w:pPr>
        <w:ind w:firstLine="0" w:firstLineChars="0"/>
        <w:rPr>
          <w:rFonts w:eastAsia="方正小标宋简体"/>
          <w:bCs/>
          <w:sz w:val="36"/>
          <w:szCs w:val="36"/>
          <w:lang w:bidi="en-US"/>
        </w:rPr>
      </w:pPr>
    </w:p>
    <w:p>
      <w:pPr>
        <w:ind w:firstLine="0" w:firstLineChars="0"/>
        <w:rPr>
          <w:rFonts w:eastAsia="方正小标宋简体"/>
          <w:bCs/>
          <w:sz w:val="36"/>
          <w:szCs w:val="36"/>
          <w:lang w:bidi="en-US"/>
        </w:rPr>
      </w:pPr>
    </w:p>
    <w:p>
      <w:pPr>
        <w:ind w:firstLine="0" w:firstLineChars="0"/>
        <w:rPr>
          <w:rFonts w:eastAsia="方正小标宋简体"/>
          <w:bCs/>
          <w:sz w:val="36"/>
          <w:szCs w:val="36"/>
          <w:lang w:bidi="en-US"/>
        </w:rPr>
      </w:pPr>
    </w:p>
    <w:p>
      <w:pPr>
        <w:ind w:firstLine="0" w:firstLineChars="0"/>
        <w:rPr>
          <w:rFonts w:eastAsia="方正小标宋简体"/>
          <w:bCs/>
          <w:sz w:val="36"/>
          <w:szCs w:val="36"/>
          <w:lang w:bidi="en-US"/>
        </w:rPr>
      </w:pPr>
    </w:p>
    <w:p>
      <w:pPr>
        <w:ind w:firstLine="0" w:firstLineChars="0"/>
        <w:rPr>
          <w:rFonts w:eastAsia="方正小标宋简体"/>
          <w:bCs/>
          <w:sz w:val="36"/>
          <w:szCs w:val="36"/>
          <w:lang w:bidi="en-US"/>
        </w:rPr>
      </w:pPr>
    </w:p>
    <w:p>
      <w:pPr>
        <w:adjustRightInd w:val="0"/>
        <w:snapToGrid w:val="0"/>
        <w:spacing w:line="560" w:lineRule="exact"/>
        <w:ind w:firstLine="0" w:firstLineChars="0"/>
        <w:rPr>
          <w:rFonts w:eastAsia="黑体"/>
          <w:bCs/>
          <w:szCs w:val="32"/>
          <w:lang w:bidi="en-US"/>
        </w:rPr>
      </w:pPr>
      <w:r>
        <w:rPr>
          <w:rFonts w:hint="eastAsia" w:eastAsia="黑体"/>
          <w:bCs/>
          <w:szCs w:val="32"/>
          <w:lang w:bidi="en-US"/>
        </w:rPr>
        <w:t>附件</w:t>
      </w:r>
      <w:r>
        <w:rPr>
          <w:rFonts w:hint="eastAsia"/>
          <w:color w:val="000000" w:themeColor="text1"/>
          <w:szCs w:val="32"/>
          <w14:textFill>
            <w14:solidFill>
              <w14:schemeClr w14:val="tx1"/>
            </w14:solidFill>
          </w14:textFill>
        </w:rPr>
        <w:t>4</w:t>
      </w:r>
    </w:p>
    <w:p>
      <w:pPr>
        <w:adjustRightInd w:val="0"/>
        <w:snapToGrid w:val="0"/>
        <w:spacing w:after="305" w:afterLines="50" w:line="560" w:lineRule="exact"/>
        <w:ind w:firstLine="0" w:firstLineChars="0"/>
        <w:jc w:val="center"/>
        <w:outlineLvl w:val="0"/>
        <w:rPr>
          <w:rFonts w:eastAsia="方正小标宋简体"/>
          <w:bCs/>
          <w:sz w:val="36"/>
          <w:szCs w:val="36"/>
          <w:lang w:bidi="en-US"/>
        </w:rPr>
      </w:pPr>
      <w:r>
        <w:rPr>
          <w:rFonts w:hint="eastAsia" w:eastAsia="方正小标宋简体"/>
          <w:bCs/>
          <w:sz w:val="36"/>
          <w:szCs w:val="36"/>
          <w:lang w:bidi="en-US"/>
        </w:rPr>
        <w:t>信息公司职业经理人契约化管理方案</w:t>
      </w:r>
    </w:p>
    <w:p>
      <w:pPr>
        <w:overflowPunct w:val="0"/>
        <w:ind w:firstLine="676"/>
        <w:outlineLvl w:val="1"/>
        <w:rPr>
          <w:rFonts w:eastAsia="黑体"/>
          <w:color w:val="000000"/>
          <w:szCs w:val="36"/>
        </w:rPr>
      </w:pPr>
      <w:r>
        <w:rPr>
          <w:rFonts w:hint="eastAsia" w:eastAsia="黑体"/>
          <w:color w:val="000000"/>
          <w:szCs w:val="36"/>
        </w:rPr>
        <w:t>一、聘任期限</w:t>
      </w:r>
    </w:p>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（一）</w:t>
      </w:r>
      <w:r>
        <w:rPr>
          <w:rFonts w:hint="eastAsia" w:ascii="Times New Roman" w:hAnsi="Times New Roman" w:eastAsia="楷体_GB2312" w:cs="Times New Roman"/>
          <w:bCs w:val="0"/>
          <w:color w:val="000000" w:themeColor="text1"/>
          <w14:textFill>
            <w14:solidFill>
              <w14:schemeClr w14:val="tx1"/>
            </w14:solidFill>
          </w14:textFill>
        </w:rPr>
        <w:t>任期期限</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职业经理人任期期限由子企业董事会确定，每届任期不超过3年，聘任期限原则上与劳动合同期限保持一致。职业经理人首届任期为自起聘任之日至2026年12月31日。</w:t>
      </w:r>
    </w:p>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w:t>
      </w:r>
      <w:r>
        <w:rPr>
          <w:rFonts w:hint="eastAsia" w:ascii="Times New Roman" w:hAnsi="Times New Roman" w:eastAsia="楷体_GB2312" w:cs="Times New Roman"/>
          <w:bCs w:val="0"/>
          <w:color w:val="000000" w:themeColor="text1"/>
          <w14:textFill>
            <w14:solidFill>
              <w14:schemeClr w14:val="tx1"/>
            </w14:solidFill>
          </w14:textFill>
        </w:rPr>
        <w:t>二</w:t>
      </w:r>
      <w:r>
        <w:rPr>
          <w:rFonts w:ascii="Times New Roman" w:hAnsi="Times New Roman" w:eastAsia="楷体_GB2312" w:cs="Times New Roman"/>
          <w:bCs w:val="0"/>
          <w:color w:val="000000" w:themeColor="text1"/>
          <w14:textFill>
            <w14:solidFill>
              <w14:schemeClr w14:val="tx1"/>
            </w14:solidFill>
          </w14:textFill>
        </w:rPr>
        <w:t>）</w:t>
      </w:r>
      <w:r>
        <w:rPr>
          <w:rFonts w:hint="eastAsia" w:ascii="Times New Roman" w:hAnsi="Times New Roman" w:eastAsia="楷体_GB2312" w:cs="Times New Roman"/>
          <w:bCs w:val="0"/>
          <w:color w:val="000000" w:themeColor="text1"/>
          <w14:textFill>
            <w14:solidFill>
              <w14:schemeClr w14:val="tx1"/>
            </w14:solidFill>
          </w14:textFill>
        </w:rPr>
        <w:t>到期重聘</w:t>
      </w:r>
    </w:p>
    <w:p>
      <w:pPr>
        <w:overflowPunct w:val="0"/>
        <w:ind w:firstLine="676"/>
        <w:rPr>
          <w:color w:val="000000" w:themeColor="text1"/>
          <w:szCs w:val="32"/>
          <w14:textFill>
            <w14:solidFill>
              <w14:schemeClr w14:val="tx1"/>
            </w14:solidFill>
          </w14:textFill>
        </w:rPr>
      </w:pPr>
      <w:r>
        <w:rPr>
          <w:color w:val="000000" w:themeColor="text1"/>
          <w:szCs w:val="32"/>
          <w14:textFill>
            <w14:solidFill>
              <w14:schemeClr w14:val="tx1"/>
            </w14:solidFill>
          </w14:textFill>
        </w:rPr>
        <w:t>市场化选聘职业经理人任期期满后，聘任关系自然解除，职业经理人须再次开展市场化选聘，选聘成功后，重新履行聘任手续，方可签订岗位聘任协议。未能续聘的，自然免职（解聘），如有党组织职务、董事会职务，原则上应一并免去。</w:t>
      </w:r>
    </w:p>
    <w:p>
      <w:pPr>
        <w:overflowPunct w:val="0"/>
        <w:ind w:firstLine="676"/>
        <w:outlineLvl w:val="1"/>
        <w:rPr>
          <w:rFonts w:eastAsia="黑体"/>
          <w:color w:val="000000"/>
          <w:szCs w:val="36"/>
        </w:rPr>
      </w:pPr>
      <w:r>
        <w:rPr>
          <w:rFonts w:hint="eastAsia" w:eastAsia="黑体"/>
          <w:color w:val="000000"/>
          <w:szCs w:val="36"/>
        </w:rPr>
        <w:t>二、绩效目标及考核</w:t>
      </w:r>
    </w:p>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w:t>
      </w:r>
      <w:r>
        <w:rPr>
          <w:rFonts w:hint="eastAsia" w:ascii="Times New Roman" w:hAnsi="Times New Roman" w:eastAsia="楷体_GB2312" w:cs="Times New Roman"/>
          <w:bCs w:val="0"/>
          <w:color w:val="000000" w:themeColor="text1"/>
          <w14:textFill>
            <w14:solidFill>
              <w14:schemeClr w14:val="tx1"/>
            </w14:solidFill>
          </w14:textFill>
        </w:rPr>
        <w:t>一</w:t>
      </w:r>
      <w:r>
        <w:rPr>
          <w:rFonts w:ascii="Times New Roman" w:hAnsi="Times New Roman" w:eastAsia="楷体_GB2312" w:cs="Times New Roman"/>
          <w:bCs w:val="0"/>
          <w:color w:val="000000" w:themeColor="text1"/>
          <w14:textFill>
            <w14:solidFill>
              <w14:schemeClr w14:val="tx1"/>
            </w14:solidFill>
          </w14:textFill>
        </w:rPr>
        <w:t>）考核内容</w:t>
      </w:r>
    </w:p>
    <w:p>
      <w:pPr>
        <w:overflowPunct w:val="0"/>
        <w:ind w:firstLine="676"/>
        <w:rPr>
          <w:color w:val="000000"/>
          <w:kern w:val="0"/>
          <w:szCs w:val="32"/>
        </w:rPr>
      </w:pPr>
      <w:r>
        <w:rPr>
          <w:color w:val="000000"/>
          <w:kern w:val="0"/>
          <w:szCs w:val="32"/>
        </w:rPr>
        <w:t>考核评价内容主要包括综合考核评价和经营业绩考核评价，实行</w:t>
      </w:r>
      <w:r>
        <w:rPr>
          <w:rFonts w:hint="eastAsia"/>
          <w:color w:val="000000"/>
          <w:kern w:val="0"/>
          <w:szCs w:val="32"/>
        </w:rPr>
        <w:t>“</w:t>
      </w:r>
      <w:r>
        <w:rPr>
          <w:color w:val="000000"/>
          <w:kern w:val="0"/>
          <w:szCs w:val="32"/>
        </w:rPr>
        <w:t>双达标</w:t>
      </w:r>
      <w:r>
        <w:rPr>
          <w:rFonts w:hint="eastAsia"/>
          <w:color w:val="000000"/>
          <w:kern w:val="0"/>
          <w:szCs w:val="32"/>
        </w:rPr>
        <w:t>”</w:t>
      </w:r>
      <w:r>
        <w:rPr>
          <w:color w:val="000000"/>
          <w:kern w:val="0"/>
          <w:szCs w:val="32"/>
        </w:rPr>
        <w:t>机制：</w:t>
      </w:r>
    </w:p>
    <w:p>
      <w:pPr>
        <w:overflowPunct w:val="0"/>
        <w:ind w:firstLine="676"/>
        <w:rPr>
          <w:color w:val="000000"/>
          <w:kern w:val="0"/>
          <w:szCs w:val="32"/>
        </w:rPr>
      </w:pPr>
      <w:r>
        <w:rPr>
          <w:color w:val="000000"/>
          <w:kern w:val="0"/>
          <w:szCs w:val="32"/>
        </w:rPr>
        <w:t>1.综合考核评价：反映职业经理人的行为与</w:t>
      </w:r>
      <w:r>
        <w:rPr>
          <w:rFonts w:hint="eastAsia"/>
          <w:color w:val="000000"/>
          <w:kern w:val="0"/>
          <w:szCs w:val="32"/>
        </w:rPr>
        <w:t>信息</w:t>
      </w:r>
      <w:r>
        <w:rPr>
          <w:color w:val="000000"/>
          <w:kern w:val="0"/>
          <w:szCs w:val="32"/>
        </w:rPr>
        <w:t>公司岗位要求、组织文化要求符合状况以及个人能力素质表现的评价指标，关注职业经理人政治素质、职业素养、业务能力、廉洁从业等方面。</w:t>
      </w:r>
    </w:p>
    <w:p>
      <w:pPr>
        <w:overflowPunct w:val="0"/>
        <w:ind w:firstLine="676"/>
        <w:rPr>
          <w:color w:val="000000"/>
          <w:kern w:val="0"/>
          <w:szCs w:val="32"/>
        </w:rPr>
      </w:pPr>
      <w:r>
        <w:rPr>
          <w:color w:val="000000"/>
          <w:kern w:val="0"/>
          <w:szCs w:val="32"/>
        </w:rPr>
        <w:t>2.经营业绩考核：对职业经理人实施试用期、年度和任期经营业绩考核，围绕</w:t>
      </w:r>
      <w:r>
        <w:rPr>
          <w:rFonts w:hint="eastAsia"/>
          <w:color w:val="000000"/>
          <w:kern w:val="0"/>
          <w:szCs w:val="32"/>
        </w:rPr>
        <w:t>信息</w:t>
      </w:r>
      <w:r>
        <w:rPr>
          <w:color w:val="000000"/>
          <w:kern w:val="0"/>
          <w:szCs w:val="32"/>
        </w:rPr>
        <w:t>公司未来战略发展规划目标要求，分解至任期内各年度，形成以战略为牵引，年度和任期考核内容及指标适当区分、有效衔接的短中长期相结合的考核机制。根据岗位职责和工作分工，确定每位职业经理人的考核内容及指标。</w:t>
      </w:r>
    </w:p>
    <w:p>
      <w:pPr>
        <w:overflowPunct w:val="0"/>
        <w:ind w:firstLine="676"/>
        <w:rPr>
          <w:color w:val="000000"/>
          <w:kern w:val="0"/>
          <w:szCs w:val="32"/>
        </w:rPr>
      </w:pPr>
      <w:r>
        <w:rPr>
          <w:color w:val="000000"/>
          <w:kern w:val="0"/>
          <w:szCs w:val="32"/>
        </w:rPr>
        <w:t>3.对兼任董事会职务和具有中共党员身份的职业经理人，基于岗位职责，开展董事履职和党建与党风廉政建设考核。</w:t>
      </w:r>
    </w:p>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w:t>
      </w:r>
      <w:r>
        <w:rPr>
          <w:rFonts w:hint="eastAsia" w:ascii="Times New Roman" w:hAnsi="Times New Roman" w:eastAsia="楷体_GB2312" w:cs="Times New Roman"/>
          <w:bCs w:val="0"/>
          <w:color w:val="000000" w:themeColor="text1"/>
          <w14:textFill>
            <w14:solidFill>
              <w14:schemeClr w14:val="tx1"/>
            </w14:solidFill>
          </w14:textFill>
        </w:rPr>
        <w:t>二</w:t>
      </w:r>
      <w:r>
        <w:rPr>
          <w:rFonts w:ascii="Times New Roman" w:hAnsi="Times New Roman" w:eastAsia="楷体_GB2312" w:cs="Times New Roman"/>
          <w:bCs w:val="0"/>
          <w:color w:val="000000" w:themeColor="text1"/>
          <w14:textFill>
            <w14:solidFill>
              <w14:schemeClr w14:val="tx1"/>
            </w14:solidFill>
          </w14:textFill>
        </w:rPr>
        <w:t>）经营业绩考核</w:t>
      </w:r>
    </w:p>
    <w:p>
      <w:pPr>
        <w:keepNext/>
        <w:keepLines/>
        <w:tabs>
          <w:tab w:val="left" w:pos="1276"/>
          <w:tab w:val="left" w:pos="1560"/>
        </w:tabs>
        <w:overflowPunct w:val="0"/>
        <w:ind w:firstLine="676"/>
        <w:outlineLvl w:val="3"/>
        <w:rPr>
          <w:color w:val="000000"/>
          <w:szCs w:val="32"/>
        </w:rPr>
      </w:pPr>
      <w:r>
        <w:rPr>
          <w:color w:val="000000"/>
          <w:szCs w:val="32"/>
        </w:rPr>
        <w:t>1.试用期考核</w:t>
      </w:r>
    </w:p>
    <w:p>
      <w:pPr>
        <w:overflowPunct w:val="0"/>
        <w:ind w:firstLine="676"/>
        <w:rPr>
          <w:color w:val="000000"/>
          <w:kern w:val="0"/>
          <w:szCs w:val="32"/>
        </w:rPr>
      </w:pPr>
      <w:r>
        <w:rPr>
          <w:color w:val="000000"/>
          <w:kern w:val="0"/>
          <w:szCs w:val="32"/>
        </w:rPr>
        <w:t>在职业经理人试用期到期后，按照管理权限，由</w:t>
      </w:r>
      <w:r>
        <w:rPr>
          <w:rFonts w:hint="eastAsia"/>
        </w:rPr>
        <w:t>艾特斯公司</w:t>
      </w:r>
      <w:r>
        <w:rPr>
          <w:color w:val="000000"/>
          <w:kern w:val="0"/>
          <w:szCs w:val="32"/>
        </w:rPr>
        <w:t>组织开展试用期考核</w:t>
      </w:r>
      <w:r>
        <w:rPr>
          <w:rFonts w:hint="eastAsia"/>
          <w:color w:val="000000"/>
          <w:kern w:val="0"/>
          <w:szCs w:val="32"/>
        </w:rPr>
        <w:t>，</w:t>
      </w:r>
      <w:r>
        <w:rPr>
          <w:color w:val="000000"/>
          <w:kern w:val="0"/>
          <w:szCs w:val="32"/>
        </w:rPr>
        <w:t>试用期考核主要为管理效能评价。</w:t>
      </w:r>
    </w:p>
    <w:p>
      <w:pPr>
        <w:keepNext/>
        <w:keepLines/>
        <w:tabs>
          <w:tab w:val="left" w:pos="1276"/>
          <w:tab w:val="left" w:pos="1560"/>
        </w:tabs>
        <w:overflowPunct w:val="0"/>
        <w:ind w:firstLine="676"/>
        <w:outlineLvl w:val="3"/>
        <w:rPr>
          <w:color w:val="000000"/>
          <w:szCs w:val="32"/>
        </w:rPr>
      </w:pPr>
      <w:r>
        <w:rPr>
          <w:color w:val="000000"/>
          <w:szCs w:val="32"/>
        </w:rPr>
        <w:t>2.年度经营业绩考核</w:t>
      </w:r>
    </w:p>
    <w:p>
      <w:pPr>
        <w:overflowPunct w:val="0"/>
        <w:ind w:firstLine="676"/>
        <w:rPr>
          <w:color w:val="000000"/>
          <w:kern w:val="0"/>
          <w:szCs w:val="32"/>
        </w:rPr>
      </w:pPr>
      <w:r>
        <w:rPr>
          <w:color w:val="000000"/>
          <w:kern w:val="0"/>
          <w:szCs w:val="32"/>
        </w:rPr>
        <w:t>年度经营业绩考核以年度为周期进行考核，在次年年初进行。年度经营业绩考核聚焦价值导向、突出重点，一人一策差异化设置考核指标。</w:t>
      </w:r>
    </w:p>
    <w:p>
      <w:pPr>
        <w:overflowPunct w:val="0"/>
        <w:ind w:firstLine="676"/>
        <w:jc w:val="left"/>
        <w:rPr>
          <w:color w:val="000000"/>
          <w:kern w:val="0"/>
          <w:szCs w:val="32"/>
        </w:rPr>
      </w:pPr>
      <w:r>
        <w:rPr>
          <w:color w:val="000000"/>
          <w:kern w:val="0"/>
          <w:szCs w:val="32"/>
        </w:rPr>
        <w:t>（1）总经理：主要考核</w:t>
      </w:r>
      <w:r>
        <w:rPr>
          <w:rFonts w:hint="eastAsia"/>
          <w:color w:val="000000"/>
          <w:kern w:val="0"/>
          <w:szCs w:val="32"/>
        </w:rPr>
        <w:t>信息</w:t>
      </w:r>
      <w:r>
        <w:rPr>
          <w:color w:val="000000"/>
          <w:kern w:val="0"/>
          <w:szCs w:val="32"/>
        </w:rPr>
        <w:t>公司整体经营业绩完成情况。信息公司总经理考核维度包括经营业绩指标、科技创新驱动指标、管理发展指标，分别占比60%</w:t>
      </w:r>
      <w:r>
        <w:rPr>
          <w:rFonts w:hint="eastAsia"/>
          <w:color w:val="000000"/>
          <w:kern w:val="0"/>
          <w:szCs w:val="32"/>
        </w:rPr>
        <w:t>、</w:t>
      </w:r>
      <w:r>
        <w:rPr>
          <w:color w:val="000000"/>
          <w:kern w:val="0"/>
          <w:szCs w:val="32"/>
        </w:rPr>
        <w:t>30%、10%；总经理经营业绩考核目标值在艾特斯</w:t>
      </w:r>
      <w:r>
        <w:rPr>
          <w:rFonts w:hint="eastAsia"/>
          <w:color w:val="000000"/>
          <w:kern w:val="0"/>
          <w:szCs w:val="32"/>
        </w:rPr>
        <w:t>公司</w:t>
      </w:r>
      <w:r>
        <w:rPr>
          <w:color w:val="000000"/>
          <w:kern w:val="0"/>
          <w:szCs w:val="32"/>
        </w:rPr>
        <w:t>对子企业董事会考核目标值上浮不少于10%确定。</w:t>
      </w:r>
    </w:p>
    <w:p>
      <w:pPr>
        <w:overflowPunct w:val="0"/>
        <w:spacing w:after="200" w:line="560" w:lineRule="exact"/>
        <w:ind w:firstLine="482" w:firstLineChars="0"/>
        <w:jc w:val="center"/>
        <w:rPr>
          <w:rFonts w:eastAsia="楷体_GB2312"/>
          <w:b/>
          <w:bCs/>
          <w:color w:val="000000"/>
          <w:kern w:val="0"/>
          <w:sz w:val="30"/>
          <w:szCs w:val="30"/>
        </w:rPr>
      </w:pPr>
      <w:r>
        <w:rPr>
          <w:rFonts w:eastAsia="楷体_GB2312"/>
          <w:b/>
          <w:bCs/>
          <w:color w:val="000000"/>
          <w:kern w:val="0"/>
          <w:sz w:val="30"/>
          <w:szCs w:val="30"/>
        </w:rPr>
        <w:t>表</w:t>
      </w:r>
      <w:r>
        <w:rPr>
          <w:rFonts w:hint="eastAsia" w:eastAsia="楷体_GB2312"/>
          <w:b/>
          <w:bCs/>
          <w:color w:val="000000"/>
          <w:kern w:val="0"/>
          <w:sz w:val="30"/>
          <w:szCs w:val="30"/>
        </w:rPr>
        <w:t>1</w:t>
      </w:r>
      <w:r>
        <w:rPr>
          <w:rFonts w:eastAsia="楷体_GB2312"/>
          <w:b/>
          <w:bCs/>
          <w:color w:val="000000"/>
          <w:kern w:val="0"/>
          <w:sz w:val="30"/>
          <w:szCs w:val="30"/>
        </w:rPr>
        <w:t>：信息公司总经理年度经营业绩模式</w:t>
      </w:r>
    </w:p>
    <w:tbl>
      <w:tblPr>
        <w:tblStyle w:val="23"/>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1423"/>
        <w:gridCol w:w="4531"/>
        <w:gridCol w:w="2126"/>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blHeader/>
          <w:jc w:val="center"/>
        </w:trPr>
        <w:tc>
          <w:tcPr>
            <w:tcW w:w="698" w:type="dxa"/>
            <w:vMerge w:val="restart"/>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序号</w:t>
            </w:r>
          </w:p>
        </w:tc>
        <w:tc>
          <w:tcPr>
            <w:tcW w:w="8892" w:type="dxa"/>
            <w:gridSpan w:val="4"/>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信息公司总经理考核模式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blHeader/>
          <w:jc w:val="center"/>
        </w:trPr>
        <w:tc>
          <w:tcPr>
            <w:tcW w:w="698" w:type="dxa"/>
            <w:vMerge w:val="continue"/>
            <w:shd w:val="clear" w:color="auto" w:fill="BDD6EE"/>
            <w:vAlign w:val="center"/>
          </w:tcPr>
          <w:p>
            <w:pPr>
              <w:overflowPunct w:val="0"/>
              <w:snapToGrid w:val="0"/>
              <w:ind w:firstLine="0" w:firstLineChars="0"/>
              <w:jc w:val="center"/>
              <w:rPr>
                <w:b/>
                <w:bCs/>
                <w:color w:val="000000"/>
                <w:kern w:val="0"/>
                <w:sz w:val="24"/>
              </w:rPr>
            </w:pPr>
          </w:p>
        </w:tc>
        <w:tc>
          <w:tcPr>
            <w:tcW w:w="1423" w:type="dxa"/>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考核维度</w:t>
            </w:r>
          </w:p>
        </w:tc>
        <w:tc>
          <w:tcPr>
            <w:tcW w:w="4531" w:type="dxa"/>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考核指标及目标</w:t>
            </w:r>
          </w:p>
        </w:tc>
        <w:tc>
          <w:tcPr>
            <w:tcW w:w="2126" w:type="dxa"/>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考核指标来源</w:t>
            </w:r>
          </w:p>
        </w:tc>
        <w:tc>
          <w:tcPr>
            <w:tcW w:w="812" w:type="dxa"/>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考核</w:t>
            </w:r>
          </w:p>
          <w:p>
            <w:pPr>
              <w:overflowPunct w:val="0"/>
              <w:snapToGrid w:val="0"/>
              <w:ind w:firstLine="0" w:firstLineChars="0"/>
              <w:jc w:val="center"/>
              <w:rPr>
                <w:b/>
                <w:bCs/>
                <w:color w:val="000000"/>
                <w:kern w:val="0"/>
                <w:sz w:val="24"/>
              </w:rPr>
            </w:pPr>
            <w:r>
              <w:rPr>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698" w:type="dxa"/>
            <w:vAlign w:val="center"/>
          </w:tcPr>
          <w:p>
            <w:pPr>
              <w:overflowPunct w:val="0"/>
              <w:snapToGrid w:val="0"/>
              <w:ind w:firstLine="0" w:firstLineChars="0"/>
              <w:jc w:val="center"/>
              <w:rPr>
                <w:color w:val="000000"/>
                <w:kern w:val="0"/>
                <w:sz w:val="24"/>
              </w:rPr>
            </w:pPr>
            <w:r>
              <w:rPr>
                <w:color w:val="000000"/>
                <w:kern w:val="0"/>
                <w:sz w:val="24"/>
              </w:rPr>
              <w:t>1</w:t>
            </w:r>
          </w:p>
        </w:tc>
        <w:tc>
          <w:tcPr>
            <w:tcW w:w="1423" w:type="dxa"/>
            <w:vMerge w:val="restart"/>
            <w:tcBorders>
              <w:top w:val="single" w:color="auto" w:sz="4" w:space="0"/>
              <w:left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color w:val="000000"/>
                <w:kern w:val="0"/>
                <w:sz w:val="24"/>
              </w:rPr>
              <w:t>经营业绩指标（60%）</w:t>
            </w:r>
          </w:p>
        </w:tc>
        <w:tc>
          <w:tcPr>
            <w:tcW w:w="4531" w:type="dxa"/>
            <w:tcBorders>
              <w:top w:val="single" w:color="auto" w:sz="4" w:space="0"/>
              <w:left w:val="nil"/>
              <w:bottom w:val="single" w:color="auto" w:sz="4" w:space="0"/>
              <w:right w:val="single" w:color="auto" w:sz="4" w:space="0"/>
            </w:tcBorders>
            <w:shd w:val="clear" w:color="auto" w:fill="auto"/>
            <w:vAlign w:val="center"/>
          </w:tcPr>
          <w:p>
            <w:pPr>
              <w:overflowPunct w:val="0"/>
              <w:snapToGrid w:val="0"/>
              <w:ind w:firstLine="0" w:firstLineChars="0"/>
              <w:rPr>
                <w:color w:val="000000"/>
                <w:kern w:val="0"/>
                <w:sz w:val="24"/>
              </w:rPr>
            </w:pPr>
            <w:r>
              <w:rPr>
                <w:rFonts w:hint="eastAsia"/>
                <w:color w:val="000000"/>
                <w:kern w:val="0"/>
                <w:sz w:val="24"/>
              </w:rPr>
              <w:t>营业收入（主要指标）（万元）</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snapToGrid w:val="0"/>
              <w:ind w:firstLine="0" w:firstLineChars="0"/>
              <w:rPr>
                <w:color w:val="000000"/>
                <w:kern w:val="0"/>
                <w:sz w:val="24"/>
              </w:rPr>
            </w:pPr>
            <w:r>
              <w:rPr>
                <w:color w:val="000000"/>
                <w:kern w:val="0"/>
                <w:sz w:val="24"/>
                <w:szCs w:val="22"/>
              </w:rPr>
              <w:t>董事会考核指标</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rFonts w:hint="eastAsia"/>
                <w:color w:val="000000"/>
                <w:kern w:val="0"/>
                <w:sz w:val="24"/>
              </w:rPr>
              <w:t>1</w:t>
            </w:r>
            <w:r>
              <w:rPr>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698" w:type="dxa"/>
            <w:vAlign w:val="center"/>
          </w:tcPr>
          <w:p>
            <w:pPr>
              <w:overflowPunct w:val="0"/>
              <w:snapToGrid w:val="0"/>
              <w:ind w:firstLine="0" w:firstLineChars="0"/>
              <w:jc w:val="center"/>
              <w:rPr>
                <w:color w:val="000000"/>
                <w:kern w:val="0"/>
                <w:sz w:val="24"/>
              </w:rPr>
            </w:pPr>
          </w:p>
        </w:tc>
        <w:tc>
          <w:tcPr>
            <w:tcW w:w="1423" w:type="dxa"/>
            <w:vMerge w:val="continue"/>
            <w:tcBorders>
              <w:top w:val="single" w:color="auto" w:sz="4" w:space="0"/>
              <w:left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p>
        </w:tc>
        <w:tc>
          <w:tcPr>
            <w:tcW w:w="4531" w:type="dxa"/>
            <w:tcBorders>
              <w:top w:val="single" w:color="auto" w:sz="4" w:space="0"/>
              <w:left w:val="nil"/>
              <w:bottom w:val="single" w:color="auto" w:sz="4" w:space="0"/>
              <w:right w:val="single" w:color="auto" w:sz="4" w:space="0"/>
            </w:tcBorders>
            <w:shd w:val="clear" w:color="auto" w:fill="auto"/>
            <w:vAlign w:val="center"/>
          </w:tcPr>
          <w:p>
            <w:pPr>
              <w:overflowPunct w:val="0"/>
              <w:snapToGrid w:val="0"/>
              <w:ind w:firstLine="0" w:firstLineChars="0"/>
              <w:rPr>
                <w:color w:val="000000"/>
                <w:kern w:val="0"/>
                <w:sz w:val="24"/>
              </w:rPr>
            </w:pPr>
            <w:r>
              <w:rPr>
                <w:rFonts w:hint="eastAsia"/>
                <w:color w:val="000000"/>
                <w:kern w:val="0"/>
                <w:sz w:val="24"/>
              </w:rPr>
              <w:t>集团外新签合同额（万元）</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snapToGrid w:val="0"/>
              <w:ind w:firstLine="0" w:firstLineChars="0"/>
              <w:rPr>
                <w:color w:val="000000"/>
                <w:kern w:val="0"/>
                <w:sz w:val="24"/>
              </w:rPr>
            </w:pPr>
            <w:r>
              <w:rPr>
                <w:color w:val="000000"/>
                <w:kern w:val="0"/>
                <w:sz w:val="24"/>
                <w:szCs w:val="22"/>
              </w:rPr>
              <w:t>董事会考核指标</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rFonts w:hint="eastAsia"/>
                <w:color w:val="000000"/>
                <w:kern w:val="0"/>
                <w:sz w:val="24"/>
              </w:rPr>
              <w:t>1</w:t>
            </w:r>
            <w:r>
              <w:rPr>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98" w:type="dxa"/>
            <w:vAlign w:val="center"/>
          </w:tcPr>
          <w:p>
            <w:pPr>
              <w:overflowPunct w:val="0"/>
              <w:snapToGrid w:val="0"/>
              <w:ind w:firstLine="0" w:firstLineChars="0"/>
              <w:jc w:val="center"/>
              <w:rPr>
                <w:color w:val="000000"/>
                <w:kern w:val="0"/>
                <w:sz w:val="24"/>
              </w:rPr>
            </w:pPr>
            <w:r>
              <w:rPr>
                <w:color w:val="000000"/>
                <w:kern w:val="0"/>
                <w:sz w:val="24"/>
              </w:rPr>
              <w:t>2</w:t>
            </w:r>
          </w:p>
        </w:tc>
        <w:tc>
          <w:tcPr>
            <w:tcW w:w="1423" w:type="dxa"/>
            <w:vMerge w:val="continue"/>
            <w:tcBorders>
              <w:left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p>
        </w:tc>
        <w:tc>
          <w:tcPr>
            <w:tcW w:w="4531" w:type="dxa"/>
            <w:tcBorders>
              <w:top w:val="single" w:color="auto" w:sz="4" w:space="0"/>
              <w:left w:val="nil"/>
              <w:bottom w:val="single" w:color="auto" w:sz="4" w:space="0"/>
              <w:right w:val="single" w:color="auto" w:sz="4" w:space="0"/>
            </w:tcBorders>
            <w:shd w:val="clear" w:color="auto" w:fill="auto"/>
            <w:vAlign w:val="center"/>
          </w:tcPr>
          <w:p>
            <w:pPr>
              <w:overflowPunct w:val="0"/>
              <w:snapToGrid w:val="0"/>
              <w:ind w:firstLine="0" w:firstLineChars="0"/>
              <w:rPr>
                <w:color w:val="000000"/>
                <w:kern w:val="0"/>
                <w:sz w:val="24"/>
              </w:rPr>
            </w:pPr>
            <w:r>
              <w:rPr>
                <w:rFonts w:hint="eastAsia"/>
                <w:color w:val="000000"/>
                <w:kern w:val="0"/>
                <w:sz w:val="24"/>
              </w:rPr>
              <w:t>利润总额（主要指标）（万元）</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snapToGrid w:val="0"/>
              <w:ind w:firstLine="0" w:firstLineChars="0"/>
              <w:rPr>
                <w:color w:val="000000"/>
                <w:kern w:val="0"/>
                <w:sz w:val="24"/>
                <w:szCs w:val="22"/>
              </w:rPr>
            </w:pPr>
            <w:r>
              <w:rPr>
                <w:color w:val="000000"/>
                <w:kern w:val="0"/>
                <w:sz w:val="24"/>
                <w:szCs w:val="22"/>
              </w:rPr>
              <w:t>董事会考核指标</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rFonts w:hint="eastAsia"/>
                <w:color w:val="000000"/>
                <w:kern w:val="0"/>
                <w:sz w:val="24"/>
              </w:rPr>
              <w:t>1</w:t>
            </w:r>
            <w:r>
              <w:rPr>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98" w:type="dxa"/>
            <w:vAlign w:val="center"/>
          </w:tcPr>
          <w:p>
            <w:pPr>
              <w:overflowPunct w:val="0"/>
              <w:snapToGrid w:val="0"/>
              <w:ind w:firstLine="0" w:firstLineChars="0"/>
              <w:jc w:val="center"/>
              <w:rPr>
                <w:color w:val="000000"/>
                <w:kern w:val="0"/>
                <w:sz w:val="24"/>
              </w:rPr>
            </w:pPr>
            <w:r>
              <w:rPr>
                <w:color w:val="000000"/>
                <w:kern w:val="0"/>
                <w:sz w:val="24"/>
              </w:rPr>
              <w:t>3</w:t>
            </w:r>
          </w:p>
        </w:tc>
        <w:tc>
          <w:tcPr>
            <w:tcW w:w="1423" w:type="dxa"/>
            <w:vMerge w:val="continue"/>
            <w:tcBorders>
              <w:left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p>
        </w:tc>
        <w:tc>
          <w:tcPr>
            <w:tcW w:w="4531" w:type="dxa"/>
            <w:tcBorders>
              <w:top w:val="single" w:color="auto" w:sz="4" w:space="0"/>
              <w:left w:val="nil"/>
              <w:bottom w:val="single" w:color="auto" w:sz="4" w:space="0"/>
              <w:right w:val="single" w:color="auto" w:sz="4" w:space="0"/>
            </w:tcBorders>
            <w:shd w:val="clear" w:color="auto" w:fill="auto"/>
            <w:vAlign w:val="center"/>
          </w:tcPr>
          <w:p>
            <w:pPr>
              <w:overflowPunct w:val="0"/>
              <w:snapToGrid w:val="0"/>
              <w:ind w:firstLine="0" w:firstLineChars="0"/>
              <w:rPr>
                <w:color w:val="000000"/>
                <w:kern w:val="0"/>
                <w:sz w:val="24"/>
              </w:rPr>
            </w:pPr>
            <w:r>
              <w:rPr>
                <w:rFonts w:hint="eastAsia"/>
                <w:color w:val="000000"/>
                <w:kern w:val="0"/>
                <w:sz w:val="24"/>
              </w:rPr>
              <w:t>新签合同额（万元）</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snapToGrid w:val="0"/>
              <w:ind w:firstLine="0" w:firstLineChars="0"/>
              <w:rPr>
                <w:color w:val="000000"/>
                <w:kern w:val="0"/>
                <w:sz w:val="24"/>
                <w:szCs w:val="22"/>
              </w:rPr>
            </w:pPr>
            <w:r>
              <w:rPr>
                <w:color w:val="000000"/>
                <w:kern w:val="0"/>
                <w:sz w:val="24"/>
                <w:szCs w:val="22"/>
              </w:rPr>
              <w:t>董事会考核指标</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rFonts w:hint="eastAsia"/>
                <w:color w:val="000000"/>
                <w:kern w:val="0"/>
                <w:sz w:val="24"/>
              </w:rPr>
              <w:t>1</w:t>
            </w:r>
            <w:r>
              <w:rPr>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98" w:type="dxa"/>
            <w:vAlign w:val="center"/>
          </w:tcPr>
          <w:p>
            <w:pPr>
              <w:overflowPunct w:val="0"/>
              <w:snapToGrid w:val="0"/>
              <w:ind w:firstLine="0" w:firstLineChars="0"/>
              <w:jc w:val="center"/>
              <w:rPr>
                <w:color w:val="000000"/>
                <w:kern w:val="0"/>
                <w:sz w:val="24"/>
              </w:rPr>
            </w:pPr>
            <w:r>
              <w:rPr>
                <w:color w:val="000000"/>
                <w:kern w:val="0"/>
                <w:sz w:val="24"/>
              </w:rPr>
              <w:t>4</w:t>
            </w:r>
          </w:p>
        </w:tc>
        <w:tc>
          <w:tcPr>
            <w:tcW w:w="1423" w:type="dxa"/>
            <w:vMerge w:val="continue"/>
            <w:tcBorders>
              <w:left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p>
        </w:tc>
        <w:tc>
          <w:tcPr>
            <w:tcW w:w="4531" w:type="dxa"/>
            <w:tcBorders>
              <w:top w:val="single" w:color="auto" w:sz="4" w:space="0"/>
              <w:left w:val="nil"/>
              <w:bottom w:val="single" w:color="auto" w:sz="4" w:space="0"/>
              <w:right w:val="single" w:color="auto" w:sz="4" w:space="0"/>
            </w:tcBorders>
            <w:shd w:val="clear" w:color="auto" w:fill="auto"/>
            <w:vAlign w:val="center"/>
          </w:tcPr>
          <w:p>
            <w:pPr>
              <w:overflowPunct w:val="0"/>
              <w:snapToGrid w:val="0"/>
              <w:ind w:firstLine="0" w:firstLineChars="0"/>
              <w:rPr>
                <w:color w:val="000000"/>
                <w:kern w:val="0"/>
                <w:sz w:val="24"/>
              </w:rPr>
            </w:pPr>
            <w:r>
              <w:rPr>
                <w:rFonts w:hint="eastAsia"/>
                <w:color w:val="000000"/>
                <w:kern w:val="0"/>
                <w:sz w:val="24"/>
              </w:rPr>
              <w:t>集团外营业收入（万元）</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snapToGrid w:val="0"/>
              <w:ind w:firstLine="0" w:firstLineChars="0"/>
              <w:rPr>
                <w:color w:val="000000"/>
                <w:kern w:val="0"/>
                <w:sz w:val="24"/>
                <w:szCs w:val="22"/>
              </w:rPr>
            </w:pPr>
            <w:r>
              <w:rPr>
                <w:color w:val="000000"/>
                <w:kern w:val="0"/>
                <w:sz w:val="24"/>
                <w:szCs w:val="22"/>
              </w:rPr>
              <w:t>董事会考核指标</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rFonts w:hint="eastAsia"/>
                <w:color w:val="000000"/>
                <w:kern w:val="0"/>
                <w:sz w:val="24"/>
              </w:rPr>
              <w:t>1</w:t>
            </w:r>
            <w:r>
              <w:rPr>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698" w:type="dxa"/>
            <w:vAlign w:val="center"/>
          </w:tcPr>
          <w:p>
            <w:pPr>
              <w:overflowPunct w:val="0"/>
              <w:snapToGrid w:val="0"/>
              <w:ind w:firstLine="0" w:firstLineChars="0"/>
              <w:jc w:val="center"/>
              <w:rPr>
                <w:color w:val="000000"/>
                <w:kern w:val="0"/>
                <w:sz w:val="24"/>
              </w:rPr>
            </w:pPr>
            <w:r>
              <w:rPr>
                <w:color w:val="000000"/>
                <w:kern w:val="0"/>
                <w:sz w:val="24"/>
              </w:rPr>
              <w:t>5</w:t>
            </w:r>
          </w:p>
        </w:tc>
        <w:tc>
          <w:tcPr>
            <w:tcW w:w="1423" w:type="dxa"/>
            <w:vMerge w:val="restart"/>
            <w:tcBorders>
              <w:left w:val="single" w:color="auto" w:sz="4" w:space="0"/>
              <w:right w:val="single" w:color="auto" w:sz="4" w:space="0"/>
            </w:tcBorders>
            <w:vAlign w:val="center"/>
          </w:tcPr>
          <w:p>
            <w:pPr>
              <w:overflowPunct w:val="0"/>
              <w:snapToGrid w:val="0"/>
              <w:ind w:firstLine="0" w:firstLineChars="0"/>
              <w:jc w:val="left"/>
              <w:rPr>
                <w:color w:val="000000"/>
                <w:kern w:val="0"/>
                <w:sz w:val="24"/>
              </w:rPr>
            </w:pPr>
            <w:r>
              <w:rPr>
                <w:color w:val="000000"/>
                <w:kern w:val="0"/>
                <w:sz w:val="24"/>
              </w:rPr>
              <w:t>科技创新驱动指（30%）</w:t>
            </w:r>
          </w:p>
        </w:tc>
        <w:tc>
          <w:tcPr>
            <w:tcW w:w="4531" w:type="dxa"/>
            <w:tcBorders>
              <w:top w:val="nil"/>
              <w:left w:val="nil"/>
              <w:bottom w:val="single" w:color="auto" w:sz="4" w:space="0"/>
              <w:right w:val="single" w:color="auto" w:sz="4" w:space="0"/>
            </w:tcBorders>
            <w:shd w:val="clear" w:color="auto" w:fill="auto"/>
            <w:vAlign w:val="center"/>
          </w:tcPr>
          <w:p>
            <w:pPr>
              <w:overflowPunct w:val="0"/>
              <w:snapToGrid w:val="0"/>
              <w:ind w:firstLine="0" w:firstLineChars="0"/>
              <w:rPr>
                <w:color w:val="000000"/>
                <w:kern w:val="0"/>
                <w:sz w:val="24"/>
                <w:szCs w:val="22"/>
              </w:rPr>
            </w:pPr>
            <w:r>
              <w:rPr>
                <w:color w:val="000000"/>
                <w:kern w:val="0"/>
                <w:sz w:val="24"/>
              </w:rPr>
              <w:t>获批辽宁省国资国企信创促进中心</w:t>
            </w:r>
          </w:p>
        </w:tc>
        <w:tc>
          <w:tcPr>
            <w:tcW w:w="2126" w:type="dxa"/>
            <w:tcBorders>
              <w:top w:val="nil"/>
              <w:left w:val="single" w:color="auto" w:sz="4" w:space="0"/>
              <w:bottom w:val="single" w:color="auto" w:sz="4" w:space="0"/>
              <w:right w:val="single" w:color="auto" w:sz="4" w:space="0"/>
            </w:tcBorders>
            <w:vAlign w:val="center"/>
          </w:tcPr>
          <w:p>
            <w:pPr>
              <w:overflowPunct w:val="0"/>
              <w:snapToGrid w:val="0"/>
              <w:ind w:firstLine="0" w:firstLineChars="0"/>
              <w:rPr>
                <w:color w:val="000000"/>
                <w:kern w:val="0"/>
                <w:sz w:val="24"/>
                <w:szCs w:val="22"/>
              </w:rPr>
            </w:pPr>
            <w:r>
              <w:rPr>
                <w:color w:val="000000"/>
                <w:kern w:val="0"/>
                <w:sz w:val="24"/>
                <w:szCs w:val="22"/>
              </w:rPr>
              <w:t>战略导向指标</w:t>
            </w:r>
          </w:p>
        </w:tc>
        <w:tc>
          <w:tcPr>
            <w:tcW w:w="812"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698" w:type="dxa"/>
            <w:vAlign w:val="center"/>
          </w:tcPr>
          <w:p>
            <w:pPr>
              <w:overflowPunct w:val="0"/>
              <w:snapToGrid w:val="0"/>
              <w:ind w:firstLine="0" w:firstLineChars="0"/>
              <w:jc w:val="center"/>
              <w:rPr>
                <w:color w:val="000000"/>
                <w:kern w:val="0"/>
                <w:sz w:val="24"/>
              </w:rPr>
            </w:pPr>
            <w:r>
              <w:rPr>
                <w:color w:val="000000"/>
                <w:kern w:val="0"/>
                <w:sz w:val="24"/>
              </w:rPr>
              <w:t>6</w:t>
            </w:r>
          </w:p>
        </w:tc>
        <w:tc>
          <w:tcPr>
            <w:tcW w:w="1423" w:type="dxa"/>
            <w:vMerge w:val="continue"/>
            <w:tcBorders>
              <w:left w:val="single" w:color="auto" w:sz="4" w:space="0"/>
              <w:right w:val="single" w:color="auto" w:sz="4" w:space="0"/>
            </w:tcBorders>
            <w:vAlign w:val="center"/>
          </w:tcPr>
          <w:p>
            <w:pPr>
              <w:overflowPunct w:val="0"/>
              <w:snapToGrid w:val="0"/>
              <w:ind w:firstLine="0" w:firstLineChars="0"/>
              <w:jc w:val="left"/>
              <w:rPr>
                <w:color w:val="000000"/>
                <w:kern w:val="0"/>
                <w:sz w:val="24"/>
              </w:rPr>
            </w:pPr>
          </w:p>
        </w:tc>
        <w:tc>
          <w:tcPr>
            <w:tcW w:w="4531" w:type="dxa"/>
            <w:tcBorders>
              <w:top w:val="nil"/>
              <w:left w:val="nil"/>
              <w:bottom w:val="single" w:color="auto" w:sz="4" w:space="0"/>
              <w:right w:val="single" w:color="auto" w:sz="4" w:space="0"/>
            </w:tcBorders>
            <w:shd w:val="clear" w:color="auto" w:fill="auto"/>
            <w:vAlign w:val="center"/>
          </w:tcPr>
          <w:p>
            <w:pPr>
              <w:overflowPunct w:val="0"/>
              <w:snapToGrid w:val="0"/>
              <w:ind w:firstLine="0" w:firstLineChars="0"/>
              <w:rPr>
                <w:color w:val="000000"/>
                <w:kern w:val="0"/>
                <w:sz w:val="24"/>
              </w:rPr>
            </w:pPr>
            <w:r>
              <w:rPr>
                <w:color w:val="000000"/>
                <w:kern w:val="0"/>
                <w:sz w:val="24"/>
                <w:szCs w:val="22"/>
              </w:rPr>
              <w:t>研发投入强度：不低于XX</w:t>
            </w:r>
          </w:p>
        </w:tc>
        <w:tc>
          <w:tcPr>
            <w:tcW w:w="2126" w:type="dxa"/>
            <w:tcBorders>
              <w:top w:val="nil"/>
              <w:left w:val="single" w:color="auto" w:sz="4" w:space="0"/>
              <w:bottom w:val="single" w:color="auto" w:sz="4" w:space="0"/>
              <w:right w:val="single" w:color="auto" w:sz="4" w:space="0"/>
            </w:tcBorders>
            <w:vAlign w:val="center"/>
          </w:tcPr>
          <w:p>
            <w:pPr>
              <w:overflowPunct w:val="0"/>
              <w:snapToGrid w:val="0"/>
              <w:ind w:firstLine="0" w:firstLineChars="0"/>
              <w:rPr>
                <w:color w:val="000000"/>
                <w:kern w:val="0"/>
                <w:sz w:val="24"/>
              </w:rPr>
            </w:pPr>
            <w:r>
              <w:rPr>
                <w:color w:val="000000"/>
                <w:kern w:val="0"/>
                <w:sz w:val="24"/>
                <w:szCs w:val="22"/>
              </w:rPr>
              <w:t>一利五率指标、董事会考核指标</w:t>
            </w:r>
          </w:p>
        </w:tc>
        <w:tc>
          <w:tcPr>
            <w:tcW w:w="812"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698" w:type="dxa"/>
            <w:vAlign w:val="center"/>
          </w:tcPr>
          <w:p>
            <w:pPr>
              <w:overflowPunct w:val="0"/>
              <w:snapToGrid w:val="0"/>
              <w:ind w:firstLine="0" w:firstLineChars="0"/>
              <w:jc w:val="center"/>
              <w:rPr>
                <w:color w:val="000000"/>
                <w:kern w:val="0"/>
                <w:sz w:val="24"/>
              </w:rPr>
            </w:pPr>
            <w:r>
              <w:rPr>
                <w:color w:val="000000"/>
                <w:kern w:val="0"/>
                <w:sz w:val="24"/>
              </w:rPr>
              <w:t>7</w:t>
            </w:r>
          </w:p>
        </w:tc>
        <w:tc>
          <w:tcPr>
            <w:tcW w:w="1423" w:type="dxa"/>
            <w:vMerge w:val="continue"/>
            <w:tcBorders>
              <w:left w:val="single" w:color="auto" w:sz="4" w:space="0"/>
              <w:right w:val="single" w:color="auto" w:sz="4" w:space="0"/>
            </w:tcBorders>
            <w:vAlign w:val="center"/>
          </w:tcPr>
          <w:p>
            <w:pPr>
              <w:overflowPunct w:val="0"/>
              <w:snapToGrid w:val="0"/>
              <w:ind w:firstLine="0" w:firstLineChars="0"/>
              <w:jc w:val="left"/>
              <w:rPr>
                <w:color w:val="000000"/>
                <w:kern w:val="0"/>
                <w:sz w:val="24"/>
              </w:rPr>
            </w:pPr>
          </w:p>
        </w:tc>
        <w:tc>
          <w:tcPr>
            <w:tcW w:w="4531" w:type="dxa"/>
            <w:tcBorders>
              <w:top w:val="nil"/>
              <w:left w:val="nil"/>
              <w:bottom w:val="single" w:color="auto" w:sz="4" w:space="0"/>
              <w:right w:val="single" w:color="auto" w:sz="4" w:space="0"/>
            </w:tcBorders>
            <w:shd w:val="clear" w:color="auto" w:fill="auto"/>
            <w:vAlign w:val="center"/>
          </w:tcPr>
          <w:p>
            <w:pPr>
              <w:overflowPunct w:val="0"/>
              <w:snapToGrid w:val="0"/>
              <w:ind w:firstLine="0" w:firstLineChars="0"/>
              <w:rPr>
                <w:color w:val="000000"/>
                <w:kern w:val="0"/>
                <w:sz w:val="24"/>
                <w:szCs w:val="22"/>
              </w:rPr>
            </w:pPr>
            <w:r>
              <w:rPr>
                <w:color w:val="000000"/>
                <w:kern w:val="0"/>
                <w:sz w:val="24"/>
                <w:szCs w:val="22"/>
              </w:rPr>
              <w:t>自有研发产品外部合同额不少于XX万</w:t>
            </w:r>
          </w:p>
        </w:tc>
        <w:tc>
          <w:tcPr>
            <w:tcW w:w="2126" w:type="dxa"/>
            <w:tcBorders>
              <w:top w:val="nil"/>
              <w:left w:val="single" w:color="auto" w:sz="4" w:space="0"/>
              <w:bottom w:val="single" w:color="auto" w:sz="4" w:space="0"/>
              <w:right w:val="single" w:color="auto" w:sz="4" w:space="0"/>
            </w:tcBorders>
            <w:vAlign w:val="center"/>
          </w:tcPr>
          <w:p>
            <w:pPr>
              <w:overflowPunct w:val="0"/>
              <w:snapToGrid w:val="0"/>
              <w:ind w:firstLine="0" w:firstLineChars="0"/>
              <w:rPr>
                <w:color w:val="000000"/>
                <w:kern w:val="0"/>
                <w:sz w:val="24"/>
                <w:szCs w:val="22"/>
              </w:rPr>
            </w:pPr>
            <w:r>
              <w:rPr>
                <w:color w:val="000000"/>
                <w:kern w:val="0"/>
                <w:sz w:val="24"/>
                <w:szCs w:val="22"/>
              </w:rPr>
              <w:t>战略导向指标</w:t>
            </w:r>
          </w:p>
        </w:tc>
        <w:tc>
          <w:tcPr>
            <w:tcW w:w="812"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698" w:type="dxa"/>
            <w:vAlign w:val="center"/>
          </w:tcPr>
          <w:p>
            <w:pPr>
              <w:overflowPunct w:val="0"/>
              <w:snapToGrid w:val="0"/>
              <w:ind w:firstLine="0" w:firstLineChars="0"/>
              <w:jc w:val="center"/>
              <w:rPr>
                <w:color w:val="000000"/>
                <w:kern w:val="0"/>
                <w:sz w:val="24"/>
              </w:rPr>
            </w:pPr>
            <w:r>
              <w:rPr>
                <w:color w:val="000000"/>
                <w:kern w:val="0"/>
                <w:sz w:val="24"/>
              </w:rPr>
              <w:t>8</w:t>
            </w:r>
          </w:p>
        </w:tc>
        <w:tc>
          <w:tcPr>
            <w:tcW w:w="1423" w:type="dxa"/>
            <w:vMerge w:val="continue"/>
            <w:tcBorders>
              <w:left w:val="single" w:color="auto" w:sz="4" w:space="0"/>
              <w:right w:val="single" w:color="auto" w:sz="4" w:space="0"/>
            </w:tcBorders>
            <w:vAlign w:val="center"/>
          </w:tcPr>
          <w:p>
            <w:pPr>
              <w:overflowPunct w:val="0"/>
              <w:snapToGrid w:val="0"/>
              <w:ind w:firstLine="0" w:firstLineChars="0"/>
              <w:jc w:val="center"/>
              <w:rPr>
                <w:color w:val="000000"/>
                <w:kern w:val="0"/>
                <w:sz w:val="24"/>
              </w:rPr>
            </w:pPr>
          </w:p>
        </w:tc>
        <w:tc>
          <w:tcPr>
            <w:tcW w:w="4531" w:type="dxa"/>
            <w:tcBorders>
              <w:top w:val="nil"/>
              <w:left w:val="nil"/>
              <w:bottom w:val="single" w:color="auto" w:sz="4" w:space="0"/>
              <w:right w:val="single" w:color="auto" w:sz="4" w:space="0"/>
            </w:tcBorders>
            <w:shd w:val="clear" w:color="auto" w:fill="auto"/>
            <w:vAlign w:val="center"/>
          </w:tcPr>
          <w:p>
            <w:pPr>
              <w:overflowPunct w:val="0"/>
              <w:snapToGrid w:val="0"/>
              <w:ind w:firstLine="0" w:firstLineChars="0"/>
              <w:rPr>
                <w:color w:val="000000"/>
                <w:kern w:val="0"/>
                <w:sz w:val="24"/>
              </w:rPr>
            </w:pPr>
            <w:r>
              <w:rPr>
                <w:color w:val="000000"/>
                <w:kern w:val="0"/>
                <w:sz w:val="24"/>
                <w:szCs w:val="22"/>
              </w:rPr>
              <w:t>围绕网络安全方面，推出自主创新并实现市场转化产品数量不少于XX项</w:t>
            </w:r>
          </w:p>
        </w:tc>
        <w:tc>
          <w:tcPr>
            <w:tcW w:w="2126" w:type="dxa"/>
            <w:tcBorders>
              <w:top w:val="nil"/>
              <w:left w:val="single" w:color="auto" w:sz="4" w:space="0"/>
              <w:bottom w:val="single" w:color="auto" w:sz="4" w:space="0"/>
              <w:right w:val="single" w:color="auto" w:sz="4" w:space="0"/>
            </w:tcBorders>
            <w:vAlign w:val="center"/>
          </w:tcPr>
          <w:p>
            <w:pPr>
              <w:overflowPunct w:val="0"/>
              <w:snapToGrid w:val="0"/>
              <w:ind w:firstLine="0" w:firstLineChars="0"/>
              <w:rPr>
                <w:color w:val="000000"/>
                <w:kern w:val="0"/>
                <w:sz w:val="24"/>
              </w:rPr>
            </w:pPr>
            <w:r>
              <w:rPr>
                <w:color w:val="000000"/>
                <w:kern w:val="0"/>
                <w:sz w:val="24"/>
                <w:szCs w:val="22"/>
              </w:rPr>
              <w:t>董事会考核指标</w:t>
            </w:r>
          </w:p>
        </w:tc>
        <w:tc>
          <w:tcPr>
            <w:tcW w:w="812"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98" w:type="dxa"/>
            <w:vAlign w:val="center"/>
          </w:tcPr>
          <w:p>
            <w:pPr>
              <w:overflowPunct w:val="0"/>
              <w:snapToGrid w:val="0"/>
              <w:ind w:firstLine="0" w:firstLineChars="0"/>
              <w:jc w:val="center"/>
              <w:rPr>
                <w:color w:val="000000"/>
                <w:kern w:val="0"/>
                <w:sz w:val="24"/>
              </w:rPr>
            </w:pPr>
            <w:r>
              <w:rPr>
                <w:color w:val="000000"/>
                <w:kern w:val="0"/>
                <w:sz w:val="24"/>
              </w:rPr>
              <w:t>9</w:t>
            </w:r>
          </w:p>
        </w:tc>
        <w:tc>
          <w:tcPr>
            <w:tcW w:w="1423" w:type="dxa"/>
            <w:vMerge w:val="continue"/>
            <w:tcBorders>
              <w:left w:val="single" w:color="auto" w:sz="4" w:space="0"/>
              <w:right w:val="single" w:color="auto" w:sz="4" w:space="0"/>
            </w:tcBorders>
            <w:vAlign w:val="center"/>
          </w:tcPr>
          <w:p>
            <w:pPr>
              <w:overflowPunct w:val="0"/>
              <w:snapToGrid w:val="0"/>
              <w:ind w:firstLine="0" w:firstLineChars="0"/>
              <w:jc w:val="center"/>
              <w:rPr>
                <w:color w:val="000000"/>
                <w:kern w:val="0"/>
                <w:sz w:val="24"/>
              </w:rPr>
            </w:pPr>
          </w:p>
        </w:tc>
        <w:tc>
          <w:tcPr>
            <w:tcW w:w="4531" w:type="dxa"/>
            <w:tcBorders>
              <w:top w:val="nil"/>
              <w:left w:val="nil"/>
              <w:bottom w:val="single" w:color="auto" w:sz="4" w:space="0"/>
              <w:right w:val="single" w:color="auto" w:sz="4" w:space="0"/>
            </w:tcBorders>
            <w:shd w:val="clear" w:color="auto" w:fill="auto"/>
            <w:vAlign w:val="center"/>
          </w:tcPr>
          <w:p>
            <w:pPr>
              <w:overflowPunct w:val="0"/>
              <w:snapToGrid w:val="0"/>
              <w:ind w:firstLine="0" w:firstLineChars="0"/>
              <w:rPr>
                <w:color w:val="000000"/>
                <w:kern w:val="0"/>
                <w:sz w:val="24"/>
              </w:rPr>
            </w:pPr>
            <w:r>
              <w:rPr>
                <w:color w:val="000000"/>
                <w:kern w:val="0"/>
                <w:sz w:val="24"/>
                <w:szCs w:val="22"/>
              </w:rPr>
              <w:t>围绕信创产业方面，推出自主创新并实现市场转化安可产品数量不少于XX项</w:t>
            </w:r>
          </w:p>
        </w:tc>
        <w:tc>
          <w:tcPr>
            <w:tcW w:w="2126" w:type="dxa"/>
            <w:tcBorders>
              <w:top w:val="nil"/>
              <w:left w:val="single" w:color="auto" w:sz="4" w:space="0"/>
              <w:bottom w:val="single" w:color="auto" w:sz="4" w:space="0"/>
              <w:right w:val="single" w:color="auto" w:sz="4" w:space="0"/>
            </w:tcBorders>
            <w:vAlign w:val="center"/>
          </w:tcPr>
          <w:p>
            <w:pPr>
              <w:overflowPunct w:val="0"/>
              <w:snapToGrid w:val="0"/>
              <w:ind w:firstLine="0" w:firstLineChars="0"/>
              <w:rPr>
                <w:color w:val="000000"/>
                <w:kern w:val="0"/>
                <w:sz w:val="24"/>
              </w:rPr>
            </w:pPr>
            <w:r>
              <w:rPr>
                <w:color w:val="000000"/>
                <w:kern w:val="0"/>
                <w:sz w:val="24"/>
                <w:szCs w:val="22"/>
              </w:rPr>
              <w:t>董事会考核指标</w:t>
            </w:r>
          </w:p>
        </w:tc>
        <w:tc>
          <w:tcPr>
            <w:tcW w:w="812"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698" w:type="dxa"/>
            <w:vAlign w:val="center"/>
          </w:tcPr>
          <w:p>
            <w:pPr>
              <w:overflowPunct w:val="0"/>
              <w:snapToGrid w:val="0"/>
              <w:ind w:firstLine="0" w:firstLineChars="0"/>
              <w:jc w:val="center"/>
              <w:rPr>
                <w:color w:val="000000"/>
                <w:kern w:val="0"/>
                <w:sz w:val="24"/>
              </w:rPr>
            </w:pPr>
            <w:r>
              <w:rPr>
                <w:color w:val="000000"/>
                <w:kern w:val="0"/>
                <w:sz w:val="24"/>
              </w:rPr>
              <w:t>10</w:t>
            </w:r>
          </w:p>
        </w:tc>
        <w:tc>
          <w:tcPr>
            <w:tcW w:w="1423" w:type="dxa"/>
            <w:vMerge w:val="restart"/>
            <w:tcBorders>
              <w:left w:val="single" w:color="auto" w:sz="4" w:space="0"/>
              <w:right w:val="single" w:color="auto" w:sz="4" w:space="0"/>
            </w:tcBorders>
            <w:vAlign w:val="center"/>
          </w:tcPr>
          <w:p>
            <w:pPr>
              <w:overflowPunct w:val="0"/>
              <w:snapToGrid w:val="0"/>
              <w:ind w:firstLine="0" w:firstLineChars="0"/>
              <w:jc w:val="center"/>
              <w:rPr>
                <w:color w:val="000000"/>
                <w:kern w:val="0"/>
                <w:sz w:val="24"/>
              </w:rPr>
            </w:pPr>
            <w:r>
              <w:rPr>
                <w:color w:val="000000"/>
                <w:kern w:val="0"/>
                <w:sz w:val="24"/>
              </w:rPr>
              <w:t>管理发展指标</w:t>
            </w:r>
            <w:r>
              <w:rPr>
                <w:rFonts w:hint="eastAsia"/>
                <w:color w:val="000000"/>
                <w:kern w:val="0"/>
                <w:sz w:val="24"/>
              </w:rPr>
              <w:t>（</w:t>
            </w:r>
            <w:r>
              <w:rPr>
                <w:color w:val="000000"/>
                <w:kern w:val="0"/>
                <w:sz w:val="24"/>
              </w:rPr>
              <w:t>10%</w:t>
            </w:r>
            <w:r>
              <w:rPr>
                <w:rFonts w:hint="eastAsia"/>
                <w:color w:val="000000"/>
                <w:kern w:val="0"/>
                <w:sz w:val="24"/>
              </w:rPr>
              <w:t>）</w:t>
            </w:r>
          </w:p>
        </w:tc>
        <w:tc>
          <w:tcPr>
            <w:tcW w:w="4531" w:type="dxa"/>
            <w:tcBorders>
              <w:top w:val="nil"/>
              <w:left w:val="nil"/>
              <w:bottom w:val="single" w:color="auto" w:sz="4" w:space="0"/>
              <w:right w:val="single" w:color="auto" w:sz="4" w:space="0"/>
            </w:tcBorders>
            <w:shd w:val="clear" w:color="auto" w:fill="auto"/>
            <w:vAlign w:val="center"/>
          </w:tcPr>
          <w:p>
            <w:pPr>
              <w:overflowPunct w:val="0"/>
              <w:snapToGrid w:val="0"/>
              <w:ind w:firstLine="0" w:firstLineChars="0"/>
              <w:rPr>
                <w:color w:val="000000"/>
                <w:kern w:val="0"/>
                <w:sz w:val="24"/>
                <w:szCs w:val="22"/>
              </w:rPr>
            </w:pPr>
            <w:r>
              <w:rPr>
                <w:color w:val="000000"/>
                <w:kern w:val="0"/>
                <w:sz w:val="24"/>
                <w:szCs w:val="22"/>
              </w:rPr>
              <w:t>市场拓展：老客户业务收入占比：XX、新客户不少于XX个，（单一订单总额超过1000万元），客户满意度XX%以上</w:t>
            </w:r>
          </w:p>
        </w:tc>
        <w:tc>
          <w:tcPr>
            <w:tcW w:w="2126" w:type="dxa"/>
            <w:tcBorders>
              <w:top w:val="nil"/>
              <w:left w:val="single" w:color="auto" w:sz="4" w:space="0"/>
              <w:bottom w:val="single" w:color="auto" w:sz="4" w:space="0"/>
              <w:right w:val="single" w:color="auto" w:sz="4" w:space="0"/>
            </w:tcBorders>
            <w:vAlign w:val="center"/>
          </w:tcPr>
          <w:p>
            <w:pPr>
              <w:overflowPunct w:val="0"/>
              <w:snapToGrid w:val="0"/>
              <w:ind w:firstLine="0" w:firstLineChars="0"/>
              <w:rPr>
                <w:color w:val="000000"/>
                <w:kern w:val="0"/>
                <w:sz w:val="24"/>
                <w:szCs w:val="22"/>
              </w:rPr>
            </w:pPr>
            <w:r>
              <w:rPr>
                <w:color w:val="000000"/>
                <w:kern w:val="0"/>
                <w:sz w:val="24"/>
                <w:szCs w:val="22"/>
              </w:rPr>
              <w:t>战略导向指标</w:t>
            </w:r>
          </w:p>
        </w:tc>
        <w:tc>
          <w:tcPr>
            <w:tcW w:w="812"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698" w:type="dxa"/>
            <w:vAlign w:val="center"/>
          </w:tcPr>
          <w:p>
            <w:pPr>
              <w:overflowPunct w:val="0"/>
              <w:snapToGrid w:val="0"/>
              <w:ind w:firstLine="0" w:firstLineChars="0"/>
              <w:jc w:val="center"/>
              <w:rPr>
                <w:color w:val="000000"/>
                <w:kern w:val="0"/>
                <w:sz w:val="24"/>
              </w:rPr>
            </w:pPr>
            <w:r>
              <w:rPr>
                <w:color w:val="000000"/>
                <w:kern w:val="0"/>
                <w:sz w:val="24"/>
              </w:rPr>
              <w:t>11</w:t>
            </w:r>
          </w:p>
        </w:tc>
        <w:tc>
          <w:tcPr>
            <w:tcW w:w="1423" w:type="dxa"/>
            <w:vMerge w:val="continue"/>
            <w:tcBorders>
              <w:left w:val="single" w:color="auto" w:sz="4" w:space="0"/>
              <w:right w:val="single" w:color="auto" w:sz="4" w:space="0"/>
            </w:tcBorders>
            <w:vAlign w:val="center"/>
          </w:tcPr>
          <w:p>
            <w:pPr>
              <w:overflowPunct w:val="0"/>
              <w:snapToGrid w:val="0"/>
              <w:ind w:firstLine="0" w:firstLineChars="0"/>
              <w:jc w:val="center"/>
              <w:rPr>
                <w:color w:val="000000"/>
                <w:kern w:val="0"/>
                <w:sz w:val="24"/>
              </w:rPr>
            </w:pPr>
          </w:p>
        </w:tc>
        <w:tc>
          <w:tcPr>
            <w:tcW w:w="4531" w:type="dxa"/>
            <w:tcBorders>
              <w:top w:val="nil"/>
              <w:left w:val="nil"/>
              <w:bottom w:val="single" w:color="auto" w:sz="4" w:space="0"/>
              <w:right w:val="single" w:color="auto" w:sz="4" w:space="0"/>
            </w:tcBorders>
            <w:shd w:val="clear" w:color="auto" w:fill="auto"/>
            <w:vAlign w:val="center"/>
          </w:tcPr>
          <w:p>
            <w:pPr>
              <w:overflowPunct w:val="0"/>
              <w:snapToGrid w:val="0"/>
              <w:ind w:firstLine="0" w:firstLineChars="0"/>
              <w:rPr>
                <w:color w:val="000000"/>
                <w:kern w:val="0"/>
                <w:sz w:val="24"/>
              </w:rPr>
            </w:pPr>
            <w:r>
              <w:rPr>
                <w:color w:val="000000"/>
                <w:kern w:val="0"/>
                <w:sz w:val="24"/>
                <w:szCs w:val="22"/>
              </w:rPr>
              <w:t>实现信息系统安全运维服务资质升级到二级</w:t>
            </w:r>
          </w:p>
        </w:tc>
        <w:tc>
          <w:tcPr>
            <w:tcW w:w="2126" w:type="dxa"/>
            <w:tcBorders>
              <w:top w:val="nil"/>
              <w:left w:val="single" w:color="auto" w:sz="4" w:space="0"/>
              <w:bottom w:val="single" w:color="auto" w:sz="4" w:space="0"/>
              <w:right w:val="single" w:color="auto" w:sz="4" w:space="0"/>
            </w:tcBorders>
            <w:vAlign w:val="center"/>
          </w:tcPr>
          <w:p>
            <w:pPr>
              <w:overflowPunct w:val="0"/>
              <w:snapToGrid w:val="0"/>
              <w:ind w:firstLine="0" w:firstLineChars="0"/>
              <w:rPr>
                <w:color w:val="000000"/>
                <w:kern w:val="0"/>
                <w:sz w:val="24"/>
              </w:rPr>
            </w:pPr>
            <w:r>
              <w:rPr>
                <w:color w:val="000000"/>
                <w:kern w:val="0"/>
                <w:sz w:val="24"/>
                <w:szCs w:val="22"/>
              </w:rPr>
              <w:t>董事会考核指标</w:t>
            </w:r>
          </w:p>
        </w:tc>
        <w:tc>
          <w:tcPr>
            <w:tcW w:w="812"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ind w:firstLine="0" w:firstLineChars="0"/>
              <w:jc w:val="center"/>
              <w:rPr>
                <w:color w:val="000000"/>
                <w:kern w:val="0"/>
                <w:sz w:val="24"/>
              </w:rPr>
            </w:pPr>
            <w:r>
              <w:rPr>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698" w:type="dxa"/>
            <w:tcBorders>
              <w:right w:val="single" w:color="auto" w:sz="4" w:space="0"/>
            </w:tcBorders>
            <w:vAlign w:val="center"/>
          </w:tcPr>
          <w:p>
            <w:pPr>
              <w:overflowPunct w:val="0"/>
              <w:snapToGrid w:val="0"/>
              <w:ind w:firstLine="0" w:firstLineChars="0"/>
              <w:jc w:val="center"/>
              <w:rPr>
                <w:color w:val="000000"/>
                <w:kern w:val="0"/>
                <w:sz w:val="24"/>
              </w:rPr>
            </w:pPr>
          </w:p>
        </w:tc>
        <w:tc>
          <w:tcPr>
            <w:tcW w:w="1423" w:type="dxa"/>
            <w:vMerge w:val="continue"/>
            <w:tcBorders>
              <w:left w:val="single" w:color="auto" w:sz="4" w:space="0"/>
              <w:right w:val="single" w:color="auto" w:sz="4" w:space="0"/>
            </w:tcBorders>
            <w:vAlign w:val="center"/>
          </w:tcPr>
          <w:p>
            <w:pPr>
              <w:overflowPunct w:val="0"/>
              <w:snapToGrid w:val="0"/>
              <w:ind w:firstLine="0" w:firstLineChars="0"/>
              <w:rPr>
                <w:color w:val="000000"/>
                <w:kern w:val="0"/>
                <w:sz w:val="24"/>
              </w:rPr>
            </w:pPr>
          </w:p>
        </w:tc>
        <w:tc>
          <w:tcPr>
            <w:tcW w:w="4531" w:type="dxa"/>
            <w:tcBorders>
              <w:left w:val="single" w:color="auto" w:sz="4" w:space="0"/>
            </w:tcBorders>
            <w:vAlign w:val="center"/>
          </w:tcPr>
          <w:p>
            <w:pPr>
              <w:overflowPunct w:val="0"/>
              <w:snapToGrid w:val="0"/>
              <w:ind w:firstLine="0" w:firstLineChars="0"/>
              <w:rPr>
                <w:color w:val="000000"/>
                <w:kern w:val="0"/>
                <w:sz w:val="24"/>
                <w:szCs w:val="22"/>
              </w:rPr>
            </w:pPr>
            <w:r>
              <w:rPr>
                <w:color w:val="000000"/>
                <w:kern w:val="0"/>
                <w:sz w:val="24"/>
              </w:rPr>
              <w:t>完成信息公司组织架构设计及岗位编制制定，制定三年中长期规划</w:t>
            </w:r>
          </w:p>
        </w:tc>
        <w:tc>
          <w:tcPr>
            <w:tcW w:w="2126" w:type="dxa"/>
            <w:vAlign w:val="center"/>
          </w:tcPr>
          <w:p>
            <w:pPr>
              <w:overflowPunct w:val="0"/>
              <w:snapToGrid w:val="0"/>
              <w:ind w:firstLine="0" w:firstLineChars="0"/>
              <w:rPr>
                <w:color w:val="000000"/>
                <w:kern w:val="0"/>
                <w:sz w:val="24"/>
                <w:szCs w:val="22"/>
              </w:rPr>
            </w:pPr>
            <w:r>
              <w:rPr>
                <w:color w:val="000000"/>
                <w:kern w:val="0"/>
                <w:sz w:val="24"/>
                <w:szCs w:val="22"/>
              </w:rPr>
              <w:t>战略导向指标</w:t>
            </w:r>
          </w:p>
        </w:tc>
        <w:tc>
          <w:tcPr>
            <w:tcW w:w="812" w:type="dxa"/>
            <w:vAlign w:val="center"/>
          </w:tcPr>
          <w:p>
            <w:pPr>
              <w:overflowPunct w:val="0"/>
              <w:snapToGrid w:val="0"/>
              <w:ind w:firstLine="0" w:firstLineChars="0"/>
              <w:jc w:val="center"/>
              <w:rPr>
                <w:color w:val="000000"/>
                <w:kern w:val="0"/>
                <w:sz w:val="24"/>
              </w:rPr>
            </w:pPr>
            <w:r>
              <w:rPr>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652" w:type="dxa"/>
            <w:gridSpan w:val="3"/>
            <w:vAlign w:val="center"/>
          </w:tcPr>
          <w:p>
            <w:pPr>
              <w:overflowPunct w:val="0"/>
              <w:snapToGrid w:val="0"/>
              <w:ind w:firstLine="0" w:firstLineChars="0"/>
              <w:jc w:val="center"/>
              <w:rPr>
                <w:b/>
                <w:bCs/>
                <w:color w:val="000000"/>
                <w:kern w:val="0"/>
                <w:sz w:val="24"/>
              </w:rPr>
            </w:pPr>
            <w:r>
              <w:rPr>
                <w:b/>
                <w:bCs/>
                <w:color w:val="000000"/>
                <w:kern w:val="0"/>
                <w:sz w:val="24"/>
              </w:rPr>
              <w:t>标准分合计</w:t>
            </w:r>
          </w:p>
        </w:tc>
        <w:tc>
          <w:tcPr>
            <w:tcW w:w="2126" w:type="dxa"/>
          </w:tcPr>
          <w:p>
            <w:pPr>
              <w:overflowPunct w:val="0"/>
              <w:snapToGrid w:val="0"/>
              <w:ind w:firstLine="0" w:firstLineChars="0"/>
              <w:jc w:val="center"/>
              <w:rPr>
                <w:b/>
                <w:bCs/>
                <w:color w:val="000000"/>
                <w:kern w:val="0"/>
                <w:sz w:val="24"/>
              </w:rPr>
            </w:pPr>
          </w:p>
        </w:tc>
        <w:tc>
          <w:tcPr>
            <w:tcW w:w="812" w:type="dxa"/>
            <w:vAlign w:val="center"/>
          </w:tcPr>
          <w:p>
            <w:pPr>
              <w:overflowPunct w:val="0"/>
              <w:snapToGrid w:val="0"/>
              <w:ind w:firstLine="0" w:firstLineChars="0"/>
              <w:jc w:val="center"/>
              <w:rPr>
                <w:b/>
                <w:bCs/>
                <w:color w:val="000000"/>
                <w:kern w:val="0"/>
                <w:sz w:val="24"/>
              </w:rPr>
            </w:pPr>
            <w:r>
              <w:rPr>
                <w:b/>
                <w:bCs/>
                <w:color w:val="000000"/>
                <w:kern w:val="0"/>
                <w:sz w:val="24"/>
              </w:rPr>
              <w:t>100</w:t>
            </w:r>
          </w:p>
        </w:tc>
      </w:tr>
    </w:tbl>
    <w:p>
      <w:pPr>
        <w:overflowPunct w:val="0"/>
        <w:spacing w:line="560" w:lineRule="exact"/>
        <w:ind w:firstLine="676"/>
        <w:rPr>
          <w:color w:val="000000"/>
          <w:kern w:val="0"/>
          <w:szCs w:val="32"/>
        </w:rPr>
      </w:pPr>
      <w:r>
        <w:rPr>
          <w:color w:val="000000"/>
          <w:kern w:val="0"/>
          <w:szCs w:val="32"/>
        </w:rPr>
        <w:t>（2）其他职业经理人：由共担指标和个性化指标组成，共担指标为总经理年度经营业绩考核结果，权重为20%；个性化指标5</w:t>
      </w:r>
      <w:r>
        <w:rPr>
          <w:rFonts w:hint="eastAsia"/>
          <w:color w:val="000000"/>
          <w:kern w:val="0"/>
          <w:szCs w:val="32"/>
        </w:rPr>
        <w:t>—</w:t>
      </w:r>
      <w:r>
        <w:rPr>
          <w:color w:val="000000"/>
          <w:kern w:val="0"/>
          <w:szCs w:val="32"/>
        </w:rPr>
        <w:t>7个，单个指标权重一般不低于5%，权重为80%，其中个性化指标中的经营业绩指标目标值在总经理目标值的基础上上浮5%以上下达。</w:t>
      </w:r>
    </w:p>
    <w:p>
      <w:pPr>
        <w:overflowPunct w:val="0"/>
        <w:spacing w:after="200" w:line="560" w:lineRule="exact"/>
        <w:ind w:firstLine="482" w:firstLineChars="0"/>
        <w:jc w:val="center"/>
        <w:rPr>
          <w:rFonts w:eastAsia="楷体_GB2312"/>
          <w:b/>
          <w:bCs/>
          <w:color w:val="000000"/>
          <w:kern w:val="0"/>
          <w:sz w:val="30"/>
          <w:szCs w:val="30"/>
        </w:rPr>
      </w:pPr>
      <w:r>
        <w:rPr>
          <w:rFonts w:eastAsia="楷体_GB2312"/>
          <w:b/>
          <w:bCs/>
          <w:color w:val="000000"/>
          <w:kern w:val="0"/>
          <w:sz w:val="30"/>
          <w:szCs w:val="30"/>
        </w:rPr>
        <w:t>表</w:t>
      </w:r>
      <w:r>
        <w:rPr>
          <w:rFonts w:hint="eastAsia" w:eastAsia="楷体_GB2312"/>
          <w:b/>
          <w:bCs/>
          <w:color w:val="000000"/>
          <w:kern w:val="0"/>
          <w:sz w:val="30"/>
          <w:szCs w:val="30"/>
        </w:rPr>
        <w:t>2</w:t>
      </w:r>
      <w:r>
        <w:rPr>
          <w:rFonts w:eastAsia="楷体_GB2312"/>
          <w:b/>
          <w:bCs/>
          <w:color w:val="000000"/>
          <w:kern w:val="0"/>
          <w:sz w:val="30"/>
          <w:szCs w:val="30"/>
        </w:rPr>
        <w:t>：信息公司年度副总经理考核要点</w:t>
      </w:r>
    </w:p>
    <w:tbl>
      <w:tblPr>
        <w:tblStyle w:val="23"/>
        <w:tblW w:w="921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196"/>
        <w:gridCol w:w="5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blHeader/>
        </w:trPr>
        <w:tc>
          <w:tcPr>
            <w:tcW w:w="1295" w:type="dxa"/>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岗位</w:t>
            </w:r>
          </w:p>
        </w:tc>
        <w:tc>
          <w:tcPr>
            <w:tcW w:w="2196" w:type="dxa"/>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总经理年度经营业绩考核结果（20分）</w:t>
            </w:r>
          </w:p>
        </w:tc>
        <w:tc>
          <w:tcPr>
            <w:tcW w:w="5727" w:type="dxa"/>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岗位关键业绩指标（80分）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295" w:type="dxa"/>
            <w:vAlign w:val="center"/>
          </w:tcPr>
          <w:p>
            <w:pPr>
              <w:overflowPunct w:val="0"/>
              <w:snapToGrid w:val="0"/>
              <w:ind w:firstLine="0" w:firstLineChars="0"/>
              <w:jc w:val="center"/>
              <w:rPr>
                <w:color w:val="000000"/>
                <w:kern w:val="0"/>
                <w:sz w:val="24"/>
              </w:rPr>
            </w:pPr>
            <w:r>
              <w:rPr>
                <w:color w:val="000000"/>
                <w:kern w:val="0"/>
                <w:sz w:val="24"/>
              </w:rPr>
              <w:t>副总经理（负责网络安全）</w:t>
            </w:r>
          </w:p>
        </w:tc>
        <w:tc>
          <w:tcPr>
            <w:tcW w:w="2196" w:type="dxa"/>
            <w:vAlign w:val="center"/>
          </w:tcPr>
          <w:p>
            <w:pPr>
              <w:overflowPunct w:val="0"/>
              <w:snapToGrid w:val="0"/>
              <w:ind w:firstLine="0" w:firstLineChars="0"/>
              <w:jc w:val="center"/>
              <w:rPr>
                <w:color w:val="000000"/>
                <w:kern w:val="0"/>
                <w:sz w:val="24"/>
              </w:rPr>
            </w:pPr>
            <w:r>
              <w:rPr>
                <w:color w:val="000000"/>
                <w:kern w:val="0"/>
                <w:sz w:val="24"/>
              </w:rPr>
              <w:t>20分</w:t>
            </w:r>
          </w:p>
        </w:tc>
        <w:tc>
          <w:tcPr>
            <w:tcW w:w="5727" w:type="dxa"/>
            <w:vAlign w:val="center"/>
          </w:tcPr>
          <w:p>
            <w:pPr>
              <w:overflowPunct w:val="0"/>
              <w:snapToGrid w:val="0"/>
              <w:ind w:firstLine="0" w:firstLineChars="0"/>
              <w:rPr>
                <w:color w:val="000000"/>
                <w:kern w:val="0"/>
                <w:sz w:val="24"/>
              </w:rPr>
            </w:pPr>
            <w:r>
              <w:rPr>
                <w:color w:val="000000"/>
                <w:kern w:val="0"/>
                <w:sz w:val="24"/>
              </w:rPr>
              <w:t>80分：分管业务领域营业收入（主要指标）、分管业务领域毛利润、分管业务领域新签合同额、围绕网络安全方面，推出自主创新并实现市场转化产品数量不少于XX项、信息系统安全运维服务二级资质、网络安全人员持证上岗不少于XX人，出台公司网络安全业务2023年</w:t>
            </w:r>
            <w:r>
              <w:rPr>
                <w:rFonts w:hint="eastAsia"/>
                <w:color w:val="000000"/>
                <w:kern w:val="0"/>
                <w:sz w:val="24"/>
              </w:rPr>
              <w:t>—</w:t>
            </w:r>
            <w:r>
              <w:rPr>
                <w:color w:val="000000"/>
                <w:kern w:val="0"/>
                <w:sz w:val="24"/>
              </w:rPr>
              <w:t>2025年实施计划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295" w:type="dxa"/>
            <w:vAlign w:val="center"/>
          </w:tcPr>
          <w:p>
            <w:pPr>
              <w:overflowPunct w:val="0"/>
              <w:snapToGrid w:val="0"/>
              <w:ind w:firstLine="0" w:firstLineChars="0"/>
              <w:jc w:val="center"/>
              <w:rPr>
                <w:color w:val="000000"/>
                <w:kern w:val="0"/>
                <w:sz w:val="24"/>
              </w:rPr>
            </w:pPr>
            <w:r>
              <w:rPr>
                <w:color w:val="000000"/>
                <w:kern w:val="0"/>
                <w:sz w:val="24"/>
              </w:rPr>
              <w:t>副总经理（负责信创）</w:t>
            </w:r>
          </w:p>
        </w:tc>
        <w:tc>
          <w:tcPr>
            <w:tcW w:w="2196" w:type="dxa"/>
            <w:vAlign w:val="center"/>
          </w:tcPr>
          <w:p>
            <w:pPr>
              <w:overflowPunct w:val="0"/>
              <w:snapToGrid w:val="0"/>
              <w:ind w:firstLine="0" w:firstLineChars="0"/>
              <w:jc w:val="center"/>
              <w:rPr>
                <w:color w:val="000000"/>
                <w:kern w:val="0"/>
                <w:sz w:val="24"/>
              </w:rPr>
            </w:pPr>
            <w:r>
              <w:rPr>
                <w:color w:val="000000"/>
                <w:kern w:val="0"/>
                <w:sz w:val="24"/>
              </w:rPr>
              <w:t>20分</w:t>
            </w:r>
          </w:p>
        </w:tc>
        <w:tc>
          <w:tcPr>
            <w:tcW w:w="5727" w:type="dxa"/>
            <w:vAlign w:val="center"/>
          </w:tcPr>
          <w:p>
            <w:pPr>
              <w:overflowPunct w:val="0"/>
              <w:snapToGrid w:val="0"/>
              <w:ind w:firstLine="0" w:firstLineChars="0"/>
              <w:rPr>
                <w:color w:val="000000"/>
                <w:kern w:val="0"/>
                <w:sz w:val="24"/>
              </w:rPr>
            </w:pPr>
            <w:r>
              <w:rPr>
                <w:color w:val="000000"/>
                <w:kern w:val="0"/>
                <w:sz w:val="24"/>
              </w:rPr>
              <w:t>80分：分管业务领域营业收入（主要指标）、分管业务领域毛利润、分管业务领域新签合同额、获批辽宁省国资国企信创促进中心、围绕信创产业方面，推出自主创新并实现市场转化安可产品数量不少于xx项、出台公司信创业务2023年</w:t>
            </w:r>
            <w:r>
              <w:rPr>
                <w:rFonts w:hint="eastAsia"/>
                <w:color w:val="000000"/>
                <w:kern w:val="0"/>
                <w:sz w:val="24"/>
              </w:rPr>
              <w:t>—</w:t>
            </w:r>
            <w:r>
              <w:rPr>
                <w:color w:val="000000"/>
                <w:kern w:val="0"/>
                <w:sz w:val="24"/>
              </w:rPr>
              <w:t>2025年实施计划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95" w:type="dxa"/>
            <w:vAlign w:val="center"/>
          </w:tcPr>
          <w:p>
            <w:pPr>
              <w:overflowPunct w:val="0"/>
              <w:snapToGrid w:val="0"/>
              <w:ind w:firstLine="0" w:firstLineChars="0"/>
              <w:jc w:val="center"/>
              <w:rPr>
                <w:color w:val="000000"/>
                <w:kern w:val="0"/>
                <w:sz w:val="24"/>
              </w:rPr>
            </w:pPr>
            <w:r>
              <w:rPr>
                <w:color w:val="000000"/>
                <w:kern w:val="0"/>
                <w:sz w:val="24"/>
              </w:rPr>
              <w:t>财务总监、副总经理（负责综合管理）</w:t>
            </w:r>
          </w:p>
        </w:tc>
        <w:tc>
          <w:tcPr>
            <w:tcW w:w="2196" w:type="dxa"/>
            <w:vAlign w:val="center"/>
          </w:tcPr>
          <w:p>
            <w:pPr>
              <w:overflowPunct w:val="0"/>
              <w:snapToGrid w:val="0"/>
              <w:ind w:firstLine="0" w:firstLineChars="0"/>
              <w:jc w:val="center"/>
              <w:rPr>
                <w:color w:val="000000"/>
                <w:kern w:val="0"/>
                <w:sz w:val="24"/>
              </w:rPr>
            </w:pPr>
            <w:r>
              <w:rPr>
                <w:color w:val="000000"/>
                <w:kern w:val="0"/>
                <w:sz w:val="24"/>
              </w:rPr>
              <w:t>20分</w:t>
            </w:r>
          </w:p>
        </w:tc>
        <w:tc>
          <w:tcPr>
            <w:tcW w:w="5727" w:type="dxa"/>
            <w:vAlign w:val="center"/>
          </w:tcPr>
          <w:p>
            <w:pPr>
              <w:overflowPunct w:val="0"/>
              <w:snapToGrid w:val="0"/>
              <w:ind w:firstLine="0" w:firstLineChars="0"/>
              <w:rPr>
                <w:color w:val="000000"/>
                <w:kern w:val="0"/>
                <w:sz w:val="24"/>
              </w:rPr>
            </w:pPr>
            <w:r>
              <w:rPr>
                <w:color w:val="000000"/>
                <w:kern w:val="0"/>
                <w:sz w:val="24"/>
              </w:rPr>
              <w:t>80分：完成信息公司组织架构设计及岗位编制制定、制度流程建设、督办事项完成率</w:t>
            </w:r>
          </w:p>
        </w:tc>
      </w:tr>
    </w:tbl>
    <w:p>
      <w:pPr>
        <w:keepNext/>
        <w:keepLines/>
        <w:tabs>
          <w:tab w:val="left" w:pos="1276"/>
          <w:tab w:val="left" w:pos="1560"/>
        </w:tabs>
        <w:overflowPunct w:val="0"/>
        <w:ind w:firstLine="676"/>
        <w:outlineLvl w:val="3"/>
        <w:rPr>
          <w:color w:val="000000"/>
          <w:szCs w:val="32"/>
        </w:rPr>
      </w:pPr>
      <w:r>
        <w:rPr>
          <w:color w:val="000000"/>
          <w:szCs w:val="32"/>
        </w:rPr>
        <w:t>3.任期经营业绩考核</w:t>
      </w:r>
    </w:p>
    <w:p>
      <w:pPr>
        <w:overflowPunct w:val="0"/>
        <w:spacing w:line="560" w:lineRule="exact"/>
        <w:ind w:firstLine="676"/>
        <w:rPr>
          <w:color w:val="000000"/>
          <w:kern w:val="0"/>
          <w:szCs w:val="32"/>
        </w:rPr>
      </w:pPr>
      <w:r>
        <w:rPr>
          <w:color w:val="000000"/>
          <w:kern w:val="0"/>
          <w:szCs w:val="32"/>
        </w:rPr>
        <w:t>任期经营业绩考核以职业经理人任期为考核期，与任期届满当年年度考核一并进行。</w:t>
      </w:r>
    </w:p>
    <w:p>
      <w:pPr>
        <w:overflowPunct w:val="0"/>
        <w:spacing w:line="560" w:lineRule="exact"/>
        <w:ind w:firstLine="676"/>
        <w:rPr>
          <w:color w:val="000000"/>
          <w:kern w:val="0"/>
          <w:szCs w:val="32"/>
        </w:rPr>
      </w:pPr>
      <w:r>
        <w:rPr>
          <w:color w:val="000000"/>
          <w:kern w:val="0"/>
          <w:szCs w:val="32"/>
        </w:rPr>
        <w:t>（1）总经理：任期考核重点关注企业中长期发展战略、可持续发展能力、业务布局。信息公司总经理为经营业绩指标、科技创新驱动指标、战略重点工作，权重分别为50%、30%、20%。</w:t>
      </w:r>
    </w:p>
    <w:p>
      <w:pPr>
        <w:overflowPunct w:val="0"/>
        <w:ind w:firstLine="676"/>
        <w:rPr>
          <w:color w:val="000000"/>
          <w:kern w:val="0"/>
          <w:szCs w:val="32"/>
        </w:rPr>
      </w:pPr>
      <w:r>
        <w:rPr>
          <w:color w:val="000000"/>
          <w:kern w:val="0"/>
          <w:szCs w:val="32"/>
        </w:rPr>
        <w:t>（2）其他职业经理人：由总经理任期经营业绩考核结果、任期岗位关键业绩指标、任期内年度考核结果，权重分别为20%、60%、20%。</w:t>
      </w:r>
    </w:p>
    <w:p>
      <w:pPr>
        <w:keepNext/>
        <w:keepLines/>
        <w:tabs>
          <w:tab w:val="left" w:pos="1276"/>
          <w:tab w:val="left" w:pos="1560"/>
        </w:tabs>
        <w:overflowPunct w:val="0"/>
        <w:ind w:firstLine="676"/>
        <w:outlineLvl w:val="3"/>
        <w:rPr>
          <w:color w:val="000000"/>
          <w:szCs w:val="32"/>
        </w:rPr>
      </w:pPr>
      <w:r>
        <w:rPr>
          <w:rFonts w:hint="eastAsia"/>
          <w:color w:val="000000"/>
          <w:szCs w:val="32"/>
        </w:rPr>
        <w:t>4</w:t>
      </w:r>
      <w:r>
        <w:rPr>
          <w:color w:val="000000"/>
          <w:szCs w:val="32"/>
        </w:rPr>
        <w:t>.指标计分规则</w:t>
      </w:r>
    </w:p>
    <w:p>
      <w:pPr>
        <w:overflowPunct w:val="0"/>
        <w:spacing w:line="560" w:lineRule="exact"/>
        <w:ind w:firstLine="676"/>
        <w:rPr>
          <w:color w:val="000000"/>
          <w:kern w:val="0"/>
          <w:szCs w:val="32"/>
        </w:rPr>
      </w:pPr>
      <w:r>
        <w:rPr>
          <w:color w:val="000000"/>
          <w:kern w:val="0"/>
          <w:szCs w:val="32"/>
        </w:rPr>
        <w:t>对于量化类指标按照完成率计分，核心指标设置加分项，不设置保底分；专项任务类指标按照任务完成率进行计分。</w:t>
      </w:r>
    </w:p>
    <w:p>
      <w:pPr>
        <w:keepNext/>
        <w:keepLines/>
        <w:tabs>
          <w:tab w:val="left" w:pos="1276"/>
          <w:tab w:val="left" w:pos="1560"/>
        </w:tabs>
        <w:overflowPunct w:val="0"/>
        <w:ind w:firstLine="676"/>
        <w:outlineLvl w:val="3"/>
        <w:rPr>
          <w:color w:val="000000"/>
          <w:szCs w:val="32"/>
        </w:rPr>
      </w:pPr>
      <w:r>
        <w:rPr>
          <w:rFonts w:hint="eastAsia"/>
          <w:color w:val="000000"/>
          <w:szCs w:val="32"/>
        </w:rPr>
        <w:t>5</w:t>
      </w:r>
      <w:r>
        <w:rPr>
          <w:color w:val="000000"/>
          <w:szCs w:val="32"/>
        </w:rPr>
        <w:t>.考核等级划分</w:t>
      </w:r>
    </w:p>
    <w:p>
      <w:pPr>
        <w:overflowPunct w:val="0"/>
        <w:spacing w:line="560" w:lineRule="exact"/>
        <w:ind w:firstLine="676"/>
        <w:rPr>
          <w:color w:val="000000"/>
          <w:kern w:val="0"/>
          <w:szCs w:val="32"/>
        </w:rPr>
      </w:pPr>
      <w:r>
        <w:rPr>
          <w:color w:val="000000"/>
          <w:kern w:val="0"/>
          <w:szCs w:val="32"/>
        </w:rPr>
        <w:t>试用期、年度及任期经营业绩考核结果分为优秀、良好、合格、不合格四个等级。</w:t>
      </w:r>
    </w:p>
    <w:p>
      <w:pPr>
        <w:overflowPunct w:val="0"/>
        <w:spacing w:line="560" w:lineRule="exact"/>
        <w:ind w:firstLine="676"/>
        <w:rPr>
          <w:color w:val="000000"/>
          <w:kern w:val="0"/>
          <w:szCs w:val="32"/>
        </w:rPr>
      </w:pPr>
      <w:r>
        <w:rPr>
          <w:color w:val="000000"/>
          <w:kern w:val="0"/>
          <w:szCs w:val="32"/>
        </w:rPr>
        <w:t>其他职业经理人个人年度及任期经营业绩考核初始结果核定与考核分数挂钩，最终根据总经理经营业绩考核结果确定。</w:t>
      </w:r>
    </w:p>
    <w:p>
      <w:pPr>
        <w:overflowPunct w:val="0"/>
        <w:spacing w:after="200" w:line="560" w:lineRule="exact"/>
        <w:ind w:firstLine="482" w:firstLineChars="0"/>
        <w:jc w:val="center"/>
        <w:rPr>
          <w:rFonts w:eastAsia="楷体_GB2312"/>
          <w:b/>
          <w:bCs/>
          <w:color w:val="000000"/>
          <w:kern w:val="0"/>
          <w:sz w:val="30"/>
          <w:szCs w:val="30"/>
        </w:rPr>
      </w:pPr>
      <w:r>
        <w:rPr>
          <w:rFonts w:eastAsia="楷体_GB2312"/>
          <w:b/>
          <w:bCs/>
          <w:color w:val="000000"/>
          <w:kern w:val="0"/>
          <w:sz w:val="30"/>
          <w:szCs w:val="30"/>
        </w:rPr>
        <w:t>表</w:t>
      </w:r>
      <w:r>
        <w:rPr>
          <w:rFonts w:hint="eastAsia" w:eastAsia="楷体_GB2312"/>
          <w:b/>
          <w:bCs/>
          <w:color w:val="000000"/>
          <w:kern w:val="0"/>
          <w:sz w:val="30"/>
          <w:szCs w:val="30"/>
        </w:rPr>
        <w:t>3</w:t>
      </w:r>
      <w:r>
        <w:rPr>
          <w:rFonts w:eastAsia="楷体_GB2312"/>
          <w:b/>
          <w:bCs/>
          <w:color w:val="000000"/>
          <w:kern w:val="0"/>
          <w:sz w:val="30"/>
          <w:szCs w:val="30"/>
        </w:rPr>
        <w:t>：考核分数及等级划分</w:t>
      </w:r>
    </w:p>
    <w:tbl>
      <w:tblPr>
        <w:tblStyle w:val="22"/>
        <w:tblW w:w="9430"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6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trPr>
        <w:tc>
          <w:tcPr>
            <w:tcW w:w="3259" w:type="dxa"/>
            <w:shd w:val="clear" w:color="auto" w:fill="BDD6EE"/>
            <w:vAlign w:val="center"/>
          </w:tcPr>
          <w:p>
            <w:pPr>
              <w:overflowPunct w:val="0"/>
              <w:snapToGrid w:val="0"/>
              <w:ind w:firstLine="442" w:firstLineChars="0"/>
              <w:jc w:val="center"/>
              <w:rPr>
                <w:b/>
                <w:bCs/>
                <w:color w:val="000000"/>
                <w:kern w:val="0"/>
                <w:sz w:val="24"/>
              </w:rPr>
            </w:pPr>
            <w:r>
              <w:rPr>
                <w:b/>
                <w:bCs/>
                <w:color w:val="000000"/>
                <w:kern w:val="0"/>
                <w:sz w:val="24"/>
              </w:rPr>
              <w:t>初始考核等级</w:t>
            </w:r>
          </w:p>
        </w:tc>
        <w:tc>
          <w:tcPr>
            <w:tcW w:w="6171" w:type="dxa"/>
            <w:shd w:val="clear" w:color="auto" w:fill="BDD6EE"/>
            <w:vAlign w:val="center"/>
          </w:tcPr>
          <w:p>
            <w:pPr>
              <w:overflowPunct w:val="0"/>
              <w:snapToGrid w:val="0"/>
              <w:ind w:firstLine="442" w:firstLineChars="0"/>
              <w:jc w:val="center"/>
              <w:rPr>
                <w:b/>
                <w:bCs/>
                <w:color w:val="000000"/>
                <w:kern w:val="0"/>
                <w:sz w:val="24"/>
              </w:rPr>
            </w:pPr>
            <w:r>
              <w:rPr>
                <w:b/>
                <w:bCs/>
                <w:color w:val="000000"/>
                <w:kern w:val="0"/>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259" w:type="dxa"/>
            <w:vAlign w:val="center"/>
          </w:tcPr>
          <w:p>
            <w:pPr>
              <w:overflowPunct w:val="0"/>
              <w:snapToGrid w:val="0"/>
              <w:ind w:firstLine="0" w:firstLineChars="0"/>
              <w:jc w:val="center"/>
              <w:rPr>
                <w:color w:val="000000"/>
                <w:kern w:val="0"/>
                <w:sz w:val="24"/>
              </w:rPr>
            </w:pPr>
            <w:r>
              <w:rPr>
                <w:color w:val="000000"/>
                <w:kern w:val="0"/>
                <w:sz w:val="24"/>
              </w:rPr>
              <w:t>优秀</w:t>
            </w:r>
          </w:p>
        </w:tc>
        <w:tc>
          <w:tcPr>
            <w:tcW w:w="6171" w:type="dxa"/>
            <w:vAlign w:val="center"/>
          </w:tcPr>
          <w:p>
            <w:pPr>
              <w:overflowPunct w:val="0"/>
              <w:snapToGrid w:val="0"/>
              <w:ind w:firstLine="440" w:firstLineChars="0"/>
              <w:jc w:val="center"/>
              <w:rPr>
                <w:color w:val="000000"/>
                <w:kern w:val="0"/>
                <w:sz w:val="24"/>
              </w:rPr>
            </w:pPr>
            <w:r>
              <w:rPr>
                <w:color w:val="000000"/>
                <w:kern w:val="0"/>
                <w:sz w:val="24"/>
              </w:rPr>
              <w:t>100分（含）</w:t>
            </w:r>
            <w:r>
              <w:rPr>
                <w:rFonts w:hint="eastAsia"/>
                <w:color w:val="000000"/>
                <w:kern w:val="0"/>
                <w:sz w:val="24"/>
              </w:rPr>
              <w:t>—</w:t>
            </w:r>
            <w:r>
              <w:rPr>
                <w:color w:val="000000"/>
                <w:kern w:val="0"/>
                <w:sz w:val="24"/>
              </w:rPr>
              <w:t>120分（含）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59" w:type="dxa"/>
            <w:vAlign w:val="center"/>
          </w:tcPr>
          <w:p>
            <w:pPr>
              <w:overflowPunct w:val="0"/>
              <w:snapToGrid w:val="0"/>
              <w:ind w:firstLine="0" w:firstLineChars="0"/>
              <w:jc w:val="center"/>
              <w:rPr>
                <w:color w:val="000000"/>
                <w:kern w:val="0"/>
                <w:sz w:val="24"/>
              </w:rPr>
            </w:pPr>
            <w:r>
              <w:rPr>
                <w:color w:val="000000"/>
                <w:kern w:val="0"/>
                <w:sz w:val="24"/>
              </w:rPr>
              <w:t>良好</w:t>
            </w:r>
          </w:p>
        </w:tc>
        <w:tc>
          <w:tcPr>
            <w:tcW w:w="6171" w:type="dxa"/>
            <w:vAlign w:val="center"/>
          </w:tcPr>
          <w:p>
            <w:pPr>
              <w:overflowPunct w:val="0"/>
              <w:snapToGrid w:val="0"/>
              <w:ind w:firstLine="440" w:firstLineChars="0"/>
              <w:jc w:val="center"/>
              <w:rPr>
                <w:color w:val="000000"/>
                <w:kern w:val="0"/>
                <w:sz w:val="24"/>
              </w:rPr>
            </w:pPr>
            <w:r>
              <w:rPr>
                <w:color w:val="000000"/>
                <w:kern w:val="0"/>
                <w:sz w:val="24"/>
              </w:rPr>
              <w:t>90（含）</w:t>
            </w:r>
            <w:r>
              <w:rPr>
                <w:rFonts w:hint="eastAsia"/>
                <w:color w:val="000000"/>
                <w:kern w:val="0"/>
                <w:sz w:val="24"/>
              </w:rPr>
              <w:t>—</w:t>
            </w:r>
            <w:r>
              <w:rPr>
                <w:color w:val="000000"/>
                <w:kern w:val="0"/>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59" w:type="dxa"/>
            <w:vAlign w:val="center"/>
          </w:tcPr>
          <w:p>
            <w:pPr>
              <w:overflowPunct w:val="0"/>
              <w:snapToGrid w:val="0"/>
              <w:ind w:firstLine="0" w:firstLineChars="0"/>
              <w:jc w:val="center"/>
              <w:rPr>
                <w:color w:val="000000"/>
                <w:kern w:val="0"/>
                <w:sz w:val="24"/>
              </w:rPr>
            </w:pPr>
            <w:r>
              <w:rPr>
                <w:color w:val="000000"/>
                <w:kern w:val="0"/>
                <w:sz w:val="24"/>
              </w:rPr>
              <w:t>合格</w:t>
            </w:r>
          </w:p>
        </w:tc>
        <w:tc>
          <w:tcPr>
            <w:tcW w:w="6171" w:type="dxa"/>
            <w:vAlign w:val="center"/>
          </w:tcPr>
          <w:p>
            <w:pPr>
              <w:overflowPunct w:val="0"/>
              <w:snapToGrid w:val="0"/>
              <w:ind w:firstLine="440" w:firstLineChars="0"/>
              <w:jc w:val="center"/>
              <w:rPr>
                <w:color w:val="000000"/>
                <w:kern w:val="0"/>
                <w:sz w:val="24"/>
              </w:rPr>
            </w:pPr>
            <w:r>
              <w:rPr>
                <w:color w:val="000000"/>
                <w:kern w:val="0"/>
                <w:sz w:val="24"/>
              </w:rPr>
              <w:t>80分（含）</w:t>
            </w:r>
            <w:r>
              <w:rPr>
                <w:rFonts w:hint="eastAsia"/>
                <w:color w:val="000000"/>
                <w:kern w:val="0"/>
                <w:sz w:val="24"/>
              </w:rPr>
              <w:t>—</w:t>
            </w:r>
            <w:r>
              <w:rPr>
                <w:color w:val="000000"/>
                <w:kern w:val="0"/>
                <w:sz w:val="24"/>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259" w:type="dxa"/>
            <w:vAlign w:val="center"/>
          </w:tcPr>
          <w:p>
            <w:pPr>
              <w:overflowPunct w:val="0"/>
              <w:snapToGrid w:val="0"/>
              <w:ind w:firstLine="0" w:firstLineChars="0"/>
              <w:jc w:val="center"/>
              <w:rPr>
                <w:color w:val="000000"/>
                <w:kern w:val="0"/>
                <w:sz w:val="24"/>
              </w:rPr>
            </w:pPr>
            <w:r>
              <w:rPr>
                <w:color w:val="000000"/>
                <w:kern w:val="0"/>
                <w:sz w:val="24"/>
              </w:rPr>
              <w:t>不合格</w:t>
            </w:r>
          </w:p>
        </w:tc>
        <w:tc>
          <w:tcPr>
            <w:tcW w:w="6171" w:type="dxa"/>
            <w:vAlign w:val="center"/>
          </w:tcPr>
          <w:p>
            <w:pPr>
              <w:overflowPunct w:val="0"/>
              <w:snapToGrid w:val="0"/>
              <w:ind w:firstLine="440" w:firstLineChars="0"/>
              <w:jc w:val="center"/>
              <w:rPr>
                <w:color w:val="000000"/>
                <w:kern w:val="0"/>
                <w:sz w:val="24"/>
              </w:rPr>
            </w:pPr>
            <w:r>
              <w:rPr>
                <w:color w:val="000000"/>
                <w:kern w:val="0"/>
                <w:sz w:val="24"/>
              </w:rPr>
              <w:t>80分以下</w:t>
            </w:r>
          </w:p>
        </w:tc>
      </w:tr>
    </w:tbl>
    <w:p>
      <w:pPr>
        <w:overflowPunct w:val="0"/>
        <w:spacing w:after="200" w:line="560" w:lineRule="exact"/>
        <w:ind w:firstLine="482" w:firstLineChars="0"/>
        <w:jc w:val="center"/>
        <w:rPr>
          <w:rFonts w:eastAsia="楷体_GB2312"/>
          <w:b/>
          <w:bCs/>
          <w:color w:val="000000"/>
          <w:kern w:val="0"/>
          <w:sz w:val="30"/>
          <w:szCs w:val="30"/>
        </w:rPr>
      </w:pPr>
      <w:r>
        <w:rPr>
          <w:rFonts w:eastAsia="楷体_GB2312"/>
          <w:b/>
          <w:bCs/>
          <w:color w:val="000000"/>
          <w:kern w:val="0"/>
          <w:sz w:val="30"/>
          <w:szCs w:val="30"/>
        </w:rPr>
        <w:t>表</w:t>
      </w:r>
      <w:r>
        <w:rPr>
          <w:rFonts w:hint="eastAsia" w:eastAsia="楷体_GB2312"/>
          <w:b/>
          <w:bCs/>
          <w:color w:val="000000"/>
          <w:kern w:val="0"/>
          <w:sz w:val="30"/>
          <w:szCs w:val="30"/>
        </w:rPr>
        <w:t>4</w:t>
      </w:r>
      <w:r>
        <w:rPr>
          <w:rFonts w:eastAsia="楷体_GB2312"/>
          <w:b/>
          <w:bCs/>
          <w:color w:val="000000"/>
          <w:kern w:val="0"/>
          <w:sz w:val="30"/>
          <w:szCs w:val="30"/>
        </w:rPr>
        <w:t>：职业经理人考核等级比例表</w:t>
      </w:r>
    </w:p>
    <w:tbl>
      <w:tblPr>
        <w:tblStyle w:val="22"/>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4"/>
        <w:gridCol w:w="6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3234" w:type="dxa"/>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总经理经营业绩考核等级</w:t>
            </w:r>
          </w:p>
        </w:tc>
        <w:tc>
          <w:tcPr>
            <w:tcW w:w="6160" w:type="dxa"/>
            <w:shd w:val="clear" w:color="auto" w:fill="BDD6EE"/>
            <w:vAlign w:val="center"/>
          </w:tcPr>
          <w:p>
            <w:pPr>
              <w:overflowPunct w:val="0"/>
              <w:snapToGrid w:val="0"/>
              <w:ind w:firstLine="0" w:firstLineChars="0"/>
              <w:jc w:val="left"/>
              <w:rPr>
                <w:b/>
                <w:bCs/>
                <w:color w:val="000000"/>
                <w:kern w:val="0"/>
                <w:sz w:val="24"/>
              </w:rPr>
            </w:pPr>
            <w:r>
              <w:rPr>
                <w:b/>
                <w:bCs/>
                <w:color w:val="000000"/>
                <w:kern w:val="0"/>
                <w:sz w:val="24"/>
              </w:rPr>
              <w:t>其他职业经理人经营业绩考核等级比例规定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234" w:type="dxa"/>
            <w:shd w:val="clear" w:color="auto" w:fill="auto"/>
            <w:vAlign w:val="center"/>
          </w:tcPr>
          <w:p>
            <w:pPr>
              <w:overflowPunct w:val="0"/>
              <w:snapToGrid w:val="0"/>
              <w:ind w:firstLine="0" w:firstLineChars="0"/>
              <w:jc w:val="center"/>
              <w:rPr>
                <w:color w:val="000000"/>
                <w:kern w:val="0"/>
                <w:sz w:val="24"/>
              </w:rPr>
            </w:pPr>
            <w:r>
              <w:rPr>
                <w:color w:val="000000"/>
                <w:kern w:val="0"/>
                <w:sz w:val="24"/>
              </w:rPr>
              <w:t>优秀</w:t>
            </w:r>
          </w:p>
        </w:tc>
        <w:tc>
          <w:tcPr>
            <w:tcW w:w="6160" w:type="dxa"/>
            <w:vAlign w:val="center"/>
          </w:tcPr>
          <w:p>
            <w:pPr>
              <w:overflowPunct w:val="0"/>
              <w:snapToGrid w:val="0"/>
              <w:ind w:firstLine="0" w:firstLineChars="0"/>
              <w:jc w:val="left"/>
              <w:rPr>
                <w:color w:val="000000"/>
                <w:kern w:val="0"/>
                <w:sz w:val="24"/>
              </w:rPr>
            </w:pPr>
            <w:r>
              <w:rPr>
                <w:color w:val="000000"/>
                <w:kern w:val="0"/>
                <w:sz w:val="24"/>
              </w:rPr>
              <w:t xml:space="preserve">原则上优秀比例不高于70%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234" w:type="dxa"/>
            <w:shd w:val="clear" w:color="auto" w:fill="auto"/>
            <w:vAlign w:val="center"/>
          </w:tcPr>
          <w:p>
            <w:pPr>
              <w:overflowPunct w:val="0"/>
              <w:snapToGrid w:val="0"/>
              <w:ind w:firstLine="0" w:firstLineChars="0"/>
              <w:jc w:val="center"/>
              <w:rPr>
                <w:color w:val="000000"/>
                <w:kern w:val="0"/>
                <w:sz w:val="24"/>
              </w:rPr>
            </w:pPr>
            <w:r>
              <w:rPr>
                <w:color w:val="000000"/>
                <w:kern w:val="0"/>
                <w:sz w:val="24"/>
              </w:rPr>
              <w:t>良好</w:t>
            </w:r>
          </w:p>
        </w:tc>
        <w:tc>
          <w:tcPr>
            <w:tcW w:w="6160" w:type="dxa"/>
            <w:vAlign w:val="center"/>
          </w:tcPr>
          <w:p>
            <w:pPr>
              <w:overflowPunct w:val="0"/>
              <w:snapToGrid w:val="0"/>
              <w:ind w:firstLine="0" w:firstLineChars="0"/>
              <w:jc w:val="left"/>
              <w:rPr>
                <w:color w:val="000000"/>
                <w:kern w:val="0"/>
                <w:sz w:val="24"/>
              </w:rPr>
            </w:pPr>
            <w:r>
              <w:rPr>
                <w:color w:val="000000"/>
                <w:kern w:val="0"/>
                <w:sz w:val="24"/>
              </w:rPr>
              <w:t xml:space="preserve">原则上优秀比例不高于20%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234" w:type="dxa"/>
            <w:shd w:val="clear" w:color="auto" w:fill="auto"/>
            <w:vAlign w:val="center"/>
          </w:tcPr>
          <w:p>
            <w:pPr>
              <w:overflowPunct w:val="0"/>
              <w:snapToGrid w:val="0"/>
              <w:ind w:firstLine="0" w:firstLineChars="0"/>
              <w:jc w:val="center"/>
              <w:rPr>
                <w:color w:val="000000"/>
                <w:kern w:val="0"/>
                <w:sz w:val="24"/>
              </w:rPr>
            </w:pPr>
            <w:r>
              <w:rPr>
                <w:color w:val="000000"/>
                <w:kern w:val="0"/>
                <w:sz w:val="24"/>
              </w:rPr>
              <w:t>合格</w:t>
            </w:r>
          </w:p>
        </w:tc>
        <w:tc>
          <w:tcPr>
            <w:tcW w:w="6160" w:type="dxa"/>
            <w:vAlign w:val="center"/>
          </w:tcPr>
          <w:p>
            <w:pPr>
              <w:overflowPunct w:val="0"/>
              <w:snapToGrid w:val="0"/>
              <w:ind w:firstLine="0" w:firstLineChars="0"/>
              <w:jc w:val="left"/>
              <w:rPr>
                <w:color w:val="000000"/>
                <w:kern w:val="0"/>
                <w:sz w:val="24"/>
              </w:rPr>
            </w:pPr>
            <w:r>
              <w:rPr>
                <w:color w:val="000000"/>
                <w:kern w:val="0"/>
                <w:sz w:val="24"/>
              </w:rPr>
              <w:t>原则上不能评为优秀，良好的比例不高于40%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234" w:type="dxa"/>
            <w:vAlign w:val="center"/>
          </w:tcPr>
          <w:p>
            <w:pPr>
              <w:overflowPunct w:val="0"/>
              <w:snapToGrid w:val="0"/>
              <w:ind w:firstLine="0" w:firstLineChars="0"/>
              <w:jc w:val="center"/>
              <w:rPr>
                <w:color w:val="000000"/>
                <w:kern w:val="0"/>
                <w:sz w:val="24"/>
              </w:rPr>
            </w:pPr>
            <w:r>
              <w:rPr>
                <w:color w:val="000000"/>
                <w:kern w:val="0"/>
                <w:sz w:val="24"/>
              </w:rPr>
              <w:t>不合格</w:t>
            </w:r>
          </w:p>
        </w:tc>
        <w:tc>
          <w:tcPr>
            <w:tcW w:w="6160" w:type="dxa"/>
            <w:vAlign w:val="center"/>
          </w:tcPr>
          <w:p>
            <w:pPr>
              <w:overflowPunct w:val="0"/>
              <w:snapToGrid w:val="0"/>
              <w:ind w:firstLine="0" w:firstLineChars="0"/>
              <w:jc w:val="left"/>
              <w:rPr>
                <w:color w:val="000000"/>
                <w:kern w:val="0"/>
                <w:sz w:val="24"/>
              </w:rPr>
            </w:pPr>
            <w:r>
              <w:rPr>
                <w:color w:val="000000"/>
                <w:kern w:val="0"/>
                <w:sz w:val="24"/>
              </w:rPr>
              <w:t>原则上不能评为优秀和良好，合格的比例不高于40%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394" w:type="dxa"/>
            <w:gridSpan w:val="2"/>
            <w:vAlign w:val="center"/>
          </w:tcPr>
          <w:p>
            <w:pPr>
              <w:overflowPunct w:val="0"/>
              <w:snapToGrid w:val="0"/>
              <w:ind w:firstLine="0" w:firstLineChars="0"/>
              <w:jc w:val="left"/>
              <w:rPr>
                <w:color w:val="000000"/>
                <w:kern w:val="0"/>
                <w:sz w:val="24"/>
              </w:rPr>
            </w:pPr>
            <w:r>
              <w:rPr>
                <w:color w:val="000000"/>
                <w:kern w:val="0"/>
                <w:sz w:val="24"/>
              </w:rPr>
              <w:t>注：若考核得分一致，按照主要指标完成情况、综合考核评价得分进行确定等级。</w:t>
            </w:r>
          </w:p>
        </w:tc>
      </w:tr>
    </w:tbl>
    <w:p>
      <w:pPr>
        <w:overflowPunct w:val="0"/>
        <w:ind w:firstLine="676"/>
        <w:outlineLvl w:val="1"/>
        <w:rPr>
          <w:rFonts w:eastAsia="黑体"/>
          <w:color w:val="000000"/>
          <w:szCs w:val="36"/>
        </w:rPr>
      </w:pPr>
      <w:r>
        <w:rPr>
          <w:rFonts w:hint="eastAsia" w:eastAsia="黑体"/>
          <w:color w:val="000000"/>
          <w:szCs w:val="36"/>
        </w:rPr>
        <w:t>三、薪酬待遇及兑现</w:t>
      </w:r>
    </w:p>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w:t>
      </w:r>
      <w:r>
        <w:rPr>
          <w:rFonts w:hint="eastAsia" w:ascii="Times New Roman" w:hAnsi="Times New Roman" w:eastAsia="楷体_GB2312" w:cs="Times New Roman"/>
          <w:bCs w:val="0"/>
          <w:color w:val="000000" w:themeColor="text1"/>
          <w14:textFill>
            <w14:solidFill>
              <w14:schemeClr w14:val="tx1"/>
            </w14:solidFill>
          </w14:textFill>
        </w:rPr>
        <w:t>一</w:t>
      </w:r>
      <w:r>
        <w:rPr>
          <w:rFonts w:ascii="Times New Roman" w:hAnsi="Times New Roman" w:eastAsia="楷体_GB2312" w:cs="Times New Roman"/>
          <w:bCs w:val="0"/>
          <w:color w:val="000000" w:themeColor="text1"/>
          <w14:textFill>
            <w14:solidFill>
              <w14:schemeClr w14:val="tx1"/>
            </w14:solidFill>
          </w14:textFill>
        </w:rPr>
        <w:t>）</w:t>
      </w:r>
      <w:r>
        <w:rPr>
          <w:rFonts w:hint="eastAsia" w:ascii="Times New Roman" w:hAnsi="Times New Roman" w:eastAsia="楷体_GB2312" w:cs="Times New Roman"/>
          <w:bCs w:val="0"/>
          <w:color w:val="000000" w:themeColor="text1"/>
          <w14:textFill>
            <w14:solidFill>
              <w14:schemeClr w14:val="tx1"/>
            </w14:solidFill>
          </w14:textFill>
        </w:rPr>
        <w:t>薪酬水平</w:t>
      </w:r>
    </w:p>
    <w:p>
      <w:pPr>
        <w:ind w:firstLine="676"/>
      </w:pPr>
      <w:r>
        <w:rPr>
          <w:color w:val="000000" w:themeColor="text1"/>
          <w:szCs w:val="32"/>
          <w14:textFill>
            <w14:solidFill>
              <w14:schemeClr w14:val="tx1"/>
            </w14:solidFill>
          </w14:textFill>
        </w:rPr>
        <w:t>职业经理人薪酬总水平应按照</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业绩与薪酬双对标</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原则，根据行业特点、企业发展战略目标、经营业绩、市场同类可比人员薪酬水平等因素，由</w:t>
      </w:r>
      <w:r>
        <w:rPr>
          <w:rFonts w:hint="eastAsia"/>
          <w:color w:val="000000" w:themeColor="text1"/>
          <w:szCs w:val="32"/>
          <w14:textFill>
            <w14:solidFill>
              <w14:schemeClr w14:val="tx1"/>
            </w14:solidFill>
          </w14:textFill>
        </w:rPr>
        <w:t>子企业</w:t>
      </w:r>
      <w:r>
        <w:rPr>
          <w:color w:val="000000" w:themeColor="text1"/>
          <w:szCs w:val="32"/>
          <w14:textFill>
            <w14:solidFill>
              <w14:schemeClr w14:val="tx1"/>
            </w14:solidFill>
          </w14:textFill>
        </w:rPr>
        <w:t>董事会与职业经理人协商确定。</w:t>
      </w:r>
    </w:p>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w:t>
      </w:r>
      <w:r>
        <w:rPr>
          <w:rFonts w:hint="eastAsia" w:ascii="Times New Roman" w:hAnsi="Times New Roman" w:eastAsia="楷体_GB2312" w:cs="Times New Roman"/>
          <w:bCs w:val="0"/>
          <w:color w:val="000000" w:themeColor="text1"/>
          <w14:textFill>
            <w14:solidFill>
              <w14:schemeClr w14:val="tx1"/>
            </w14:solidFill>
          </w14:textFill>
        </w:rPr>
        <w:t>二</w:t>
      </w:r>
      <w:r>
        <w:rPr>
          <w:rFonts w:ascii="Times New Roman" w:hAnsi="Times New Roman" w:eastAsia="楷体_GB2312" w:cs="Times New Roman"/>
          <w:bCs w:val="0"/>
          <w:color w:val="000000" w:themeColor="text1"/>
          <w14:textFill>
            <w14:solidFill>
              <w14:schemeClr w14:val="tx1"/>
            </w14:solidFill>
          </w14:textFill>
        </w:rPr>
        <w:t>）</w:t>
      </w:r>
      <w:r>
        <w:rPr>
          <w:rFonts w:hint="eastAsia" w:ascii="Times New Roman" w:hAnsi="Times New Roman" w:eastAsia="楷体_GB2312" w:cs="Times New Roman"/>
          <w:bCs w:val="0"/>
          <w:color w:val="000000" w:themeColor="text1"/>
          <w14:textFill>
            <w14:solidFill>
              <w14:schemeClr w14:val="tx1"/>
            </w14:solidFill>
          </w14:textFill>
        </w:rPr>
        <w:t>薪酬结构</w:t>
      </w:r>
    </w:p>
    <w:p>
      <w:pPr>
        <w:overflowPunct w:val="0"/>
        <w:ind w:firstLine="676"/>
        <w:rPr>
          <w:color w:val="000000"/>
          <w:kern w:val="0"/>
          <w:szCs w:val="32"/>
        </w:rPr>
      </w:pPr>
      <w:r>
        <w:rPr>
          <w:color w:val="000000"/>
          <w:kern w:val="0"/>
          <w:szCs w:val="32"/>
        </w:rPr>
        <w:t>职业经理人薪酬由基本年薪、绩效年薪、任期激励收入、</w:t>
      </w:r>
      <w:r>
        <w:rPr>
          <w:rFonts w:hint="eastAsia"/>
          <w:color w:val="000000"/>
          <w:kern w:val="0"/>
          <w:szCs w:val="32"/>
        </w:rPr>
        <w:t>战略达标奖等组成</w:t>
      </w:r>
      <w:r>
        <w:rPr>
          <w:color w:val="000000"/>
          <w:kern w:val="0"/>
          <w:szCs w:val="32"/>
        </w:rPr>
        <w:t>。</w:t>
      </w:r>
    </w:p>
    <w:p>
      <w:pPr>
        <w:overflowPunct w:val="0"/>
        <w:ind w:firstLine="676"/>
        <w:rPr>
          <w:color w:val="000000"/>
          <w:kern w:val="0"/>
          <w:szCs w:val="32"/>
        </w:rPr>
      </w:pPr>
      <w:r>
        <w:rPr>
          <w:color w:val="000000"/>
          <w:kern w:val="0"/>
          <w:szCs w:val="32"/>
        </w:rPr>
        <w:t>1.基本年薪是年度基本收入，基本年薪占年度薪酬（基本年薪与绩效年薪）的比例为40%。</w:t>
      </w:r>
    </w:p>
    <w:p>
      <w:pPr>
        <w:overflowPunct w:val="0"/>
        <w:ind w:firstLine="676"/>
        <w:rPr>
          <w:color w:val="000000"/>
          <w:kern w:val="0"/>
          <w:szCs w:val="32"/>
        </w:rPr>
      </w:pPr>
      <w:r>
        <w:rPr>
          <w:color w:val="000000"/>
          <w:kern w:val="0"/>
          <w:szCs w:val="32"/>
        </w:rPr>
        <w:t>2.绩效年薪是与年度经营业绩考核相挂钩的浮动收入，绩效年薪基数占年度薪酬（基本年薪与绩效年薪）的比例为60%。核定方式为：</w:t>
      </w:r>
    </w:p>
    <w:p>
      <w:pPr>
        <w:overflowPunct w:val="0"/>
        <w:ind w:firstLine="676"/>
        <w:rPr>
          <w:color w:val="000000"/>
          <w:kern w:val="0"/>
          <w:szCs w:val="32"/>
        </w:rPr>
      </w:pPr>
      <w:r>
        <w:rPr>
          <w:color w:val="000000"/>
          <w:kern w:val="0"/>
          <w:szCs w:val="32"/>
        </w:rPr>
        <w:t>绩效年薪=绩效年薪基数×年度经营业绩考核兑现系数</w:t>
      </w:r>
    </w:p>
    <w:p>
      <w:pPr>
        <w:overflowPunct w:val="0"/>
        <w:spacing w:after="200" w:line="560" w:lineRule="exact"/>
        <w:ind w:firstLine="482" w:firstLineChars="0"/>
        <w:jc w:val="center"/>
        <w:rPr>
          <w:rFonts w:eastAsia="楷体_GB2312"/>
          <w:b/>
          <w:bCs/>
          <w:color w:val="000000"/>
          <w:kern w:val="0"/>
          <w:sz w:val="30"/>
          <w:szCs w:val="30"/>
        </w:rPr>
      </w:pPr>
      <w:r>
        <w:rPr>
          <w:rFonts w:eastAsia="楷体_GB2312"/>
          <w:b/>
          <w:bCs/>
          <w:color w:val="000000"/>
          <w:kern w:val="0"/>
          <w:sz w:val="30"/>
          <w:szCs w:val="30"/>
        </w:rPr>
        <w:t>表</w:t>
      </w:r>
      <w:r>
        <w:rPr>
          <w:rFonts w:hint="eastAsia" w:eastAsia="楷体_GB2312"/>
          <w:b/>
          <w:bCs/>
          <w:color w:val="000000"/>
          <w:kern w:val="0"/>
          <w:sz w:val="30"/>
          <w:szCs w:val="30"/>
        </w:rPr>
        <w:t>5</w:t>
      </w:r>
      <w:r>
        <w:rPr>
          <w:rFonts w:eastAsia="楷体_GB2312"/>
          <w:b/>
          <w:bCs/>
          <w:color w:val="000000"/>
          <w:kern w:val="0"/>
          <w:sz w:val="30"/>
          <w:szCs w:val="30"/>
        </w:rPr>
        <w:t>：年度经营业绩考核兑现系数</w:t>
      </w:r>
    </w:p>
    <w:tbl>
      <w:tblPr>
        <w:tblStyle w:val="22"/>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440"/>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2278" w:type="dxa"/>
            <w:tcBorders>
              <w:bottom w:val="single" w:color="auto" w:sz="4" w:space="0"/>
            </w:tcBorders>
            <w:shd w:val="clear" w:color="auto" w:fill="BDD6EE"/>
            <w:vAlign w:val="center"/>
          </w:tcPr>
          <w:p>
            <w:pPr>
              <w:overflowPunct w:val="0"/>
              <w:ind w:firstLine="0" w:firstLineChars="0"/>
              <w:jc w:val="center"/>
              <w:rPr>
                <w:b/>
                <w:bCs/>
                <w:color w:val="000000"/>
                <w:kern w:val="0"/>
                <w:sz w:val="24"/>
              </w:rPr>
            </w:pPr>
            <w:r>
              <w:rPr>
                <w:b/>
                <w:bCs/>
                <w:color w:val="000000"/>
                <w:kern w:val="0"/>
                <w:sz w:val="24"/>
              </w:rPr>
              <w:t>考核等级</w:t>
            </w:r>
          </w:p>
        </w:tc>
        <w:tc>
          <w:tcPr>
            <w:tcW w:w="3440" w:type="dxa"/>
            <w:tcBorders>
              <w:bottom w:val="single" w:color="auto" w:sz="4" w:space="0"/>
            </w:tcBorders>
            <w:shd w:val="clear" w:color="auto" w:fill="BDD6EE"/>
            <w:vAlign w:val="center"/>
          </w:tcPr>
          <w:p>
            <w:pPr>
              <w:overflowPunct w:val="0"/>
              <w:ind w:firstLine="209" w:firstLineChars="82"/>
              <w:jc w:val="center"/>
              <w:rPr>
                <w:b/>
                <w:bCs/>
                <w:color w:val="000000"/>
                <w:kern w:val="0"/>
                <w:sz w:val="24"/>
              </w:rPr>
            </w:pPr>
            <w:r>
              <w:rPr>
                <w:b/>
                <w:bCs/>
                <w:color w:val="000000"/>
                <w:kern w:val="0"/>
                <w:sz w:val="24"/>
              </w:rPr>
              <w:t>考核得分</w:t>
            </w:r>
          </w:p>
        </w:tc>
        <w:tc>
          <w:tcPr>
            <w:tcW w:w="3412" w:type="dxa"/>
            <w:tcBorders>
              <w:bottom w:val="single" w:color="auto" w:sz="4" w:space="0"/>
            </w:tcBorders>
            <w:shd w:val="clear" w:color="auto" w:fill="BDD6EE"/>
            <w:vAlign w:val="center"/>
          </w:tcPr>
          <w:p>
            <w:pPr>
              <w:overflowPunct w:val="0"/>
              <w:ind w:firstLine="0" w:firstLineChars="0"/>
              <w:jc w:val="center"/>
              <w:rPr>
                <w:b/>
                <w:bCs/>
                <w:color w:val="000000"/>
                <w:kern w:val="0"/>
                <w:sz w:val="24"/>
              </w:rPr>
            </w:pPr>
            <w:r>
              <w:rPr>
                <w:b/>
                <w:bCs/>
                <w:color w:val="000000"/>
                <w:kern w:val="0"/>
                <w:sz w:val="24"/>
              </w:rPr>
              <w:t>年度经营业绩考核兑现系数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78" w:type="dxa"/>
            <w:vAlign w:val="center"/>
          </w:tcPr>
          <w:p>
            <w:pPr>
              <w:overflowPunct w:val="0"/>
              <w:ind w:firstLine="0" w:firstLineChars="0"/>
              <w:jc w:val="center"/>
              <w:rPr>
                <w:color w:val="000000"/>
                <w:kern w:val="0"/>
                <w:sz w:val="24"/>
              </w:rPr>
            </w:pPr>
            <w:r>
              <w:rPr>
                <w:color w:val="000000"/>
                <w:kern w:val="0"/>
                <w:sz w:val="24"/>
              </w:rPr>
              <w:t>优秀</w:t>
            </w:r>
          </w:p>
        </w:tc>
        <w:tc>
          <w:tcPr>
            <w:tcW w:w="3440" w:type="dxa"/>
            <w:tcMar>
              <w:top w:w="0" w:type="dxa"/>
              <w:left w:w="0" w:type="dxa"/>
              <w:bottom w:w="0" w:type="dxa"/>
              <w:right w:w="0" w:type="dxa"/>
            </w:tcMar>
            <w:vAlign w:val="center"/>
          </w:tcPr>
          <w:p>
            <w:pPr>
              <w:overflowPunct w:val="0"/>
              <w:ind w:firstLine="0" w:firstLineChars="0"/>
              <w:jc w:val="center"/>
              <w:rPr>
                <w:color w:val="000000"/>
                <w:kern w:val="0"/>
                <w:sz w:val="24"/>
              </w:rPr>
            </w:pPr>
            <w:r>
              <w:rPr>
                <w:color w:val="000000"/>
                <w:kern w:val="0"/>
                <w:sz w:val="24"/>
              </w:rPr>
              <w:t>100分（含）</w:t>
            </w:r>
            <w:r>
              <w:rPr>
                <w:rFonts w:hint="eastAsia"/>
                <w:color w:val="000000"/>
                <w:kern w:val="0"/>
                <w:sz w:val="24"/>
              </w:rPr>
              <w:t>—</w:t>
            </w:r>
            <w:r>
              <w:rPr>
                <w:color w:val="000000"/>
                <w:kern w:val="0"/>
                <w:sz w:val="24"/>
              </w:rPr>
              <w:t>120分（含）</w:t>
            </w:r>
          </w:p>
        </w:tc>
        <w:tc>
          <w:tcPr>
            <w:tcW w:w="3412" w:type="dxa"/>
            <w:vAlign w:val="center"/>
          </w:tcPr>
          <w:p>
            <w:pPr>
              <w:overflowPunct w:val="0"/>
              <w:ind w:firstLine="0" w:firstLineChars="0"/>
              <w:jc w:val="center"/>
              <w:rPr>
                <w:color w:val="000000"/>
                <w:kern w:val="0"/>
                <w:sz w:val="24"/>
              </w:rPr>
            </w:pPr>
            <w:r>
              <w:rPr>
                <w:color w:val="000000"/>
                <w:kern w:val="0"/>
                <w:sz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78" w:type="dxa"/>
            <w:vAlign w:val="center"/>
          </w:tcPr>
          <w:p>
            <w:pPr>
              <w:overflowPunct w:val="0"/>
              <w:ind w:firstLine="0" w:firstLineChars="0"/>
              <w:jc w:val="center"/>
              <w:rPr>
                <w:color w:val="000000"/>
                <w:kern w:val="0"/>
                <w:sz w:val="24"/>
              </w:rPr>
            </w:pPr>
            <w:r>
              <w:rPr>
                <w:color w:val="000000"/>
                <w:kern w:val="0"/>
                <w:sz w:val="24"/>
              </w:rPr>
              <w:t>良好</w:t>
            </w:r>
          </w:p>
        </w:tc>
        <w:tc>
          <w:tcPr>
            <w:tcW w:w="3440" w:type="dxa"/>
            <w:tcMar>
              <w:top w:w="0" w:type="dxa"/>
              <w:left w:w="0" w:type="dxa"/>
              <w:bottom w:w="0" w:type="dxa"/>
              <w:right w:w="0" w:type="dxa"/>
            </w:tcMar>
            <w:vAlign w:val="center"/>
          </w:tcPr>
          <w:p>
            <w:pPr>
              <w:overflowPunct w:val="0"/>
              <w:ind w:firstLine="0" w:firstLineChars="0"/>
              <w:jc w:val="center"/>
              <w:rPr>
                <w:color w:val="000000"/>
                <w:kern w:val="0"/>
                <w:sz w:val="24"/>
              </w:rPr>
            </w:pPr>
            <w:r>
              <w:rPr>
                <w:color w:val="000000"/>
                <w:kern w:val="0"/>
                <w:sz w:val="24"/>
              </w:rPr>
              <w:t>90（含）</w:t>
            </w:r>
            <w:r>
              <w:rPr>
                <w:rFonts w:hint="eastAsia"/>
                <w:color w:val="000000"/>
                <w:kern w:val="0"/>
                <w:sz w:val="24"/>
              </w:rPr>
              <w:t>—</w:t>
            </w:r>
            <w:r>
              <w:rPr>
                <w:color w:val="000000"/>
                <w:kern w:val="0"/>
                <w:sz w:val="24"/>
              </w:rPr>
              <w:t>100分</w:t>
            </w:r>
          </w:p>
        </w:tc>
        <w:tc>
          <w:tcPr>
            <w:tcW w:w="3412" w:type="dxa"/>
            <w:vAlign w:val="center"/>
          </w:tcPr>
          <w:p>
            <w:pPr>
              <w:overflowPunct w:val="0"/>
              <w:ind w:firstLine="0" w:firstLineChars="0"/>
              <w:jc w:val="center"/>
              <w:rPr>
                <w:color w:val="000000"/>
                <w:kern w:val="0"/>
                <w:sz w:val="24"/>
              </w:rPr>
            </w:pPr>
            <w:r>
              <w:rPr>
                <w:color w:val="000000"/>
                <w:kern w:val="0"/>
                <w:sz w:val="24"/>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78" w:type="dxa"/>
            <w:vAlign w:val="center"/>
          </w:tcPr>
          <w:p>
            <w:pPr>
              <w:overflowPunct w:val="0"/>
              <w:ind w:firstLine="0" w:firstLineChars="0"/>
              <w:jc w:val="center"/>
              <w:rPr>
                <w:color w:val="000000"/>
                <w:kern w:val="0"/>
                <w:sz w:val="24"/>
              </w:rPr>
            </w:pPr>
            <w:r>
              <w:rPr>
                <w:color w:val="000000"/>
                <w:kern w:val="0"/>
                <w:sz w:val="24"/>
              </w:rPr>
              <w:t>合格</w:t>
            </w:r>
          </w:p>
        </w:tc>
        <w:tc>
          <w:tcPr>
            <w:tcW w:w="3440" w:type="dxa"/>
            <w:tcMar>
              <w:top w:w="0" w:type="dxa"/>
              <w:left w:w="0" w:type="dxa"/>
              <w:bottom w:w="0" w:type="dxa"/>
              <w:right w:w="0" w:type="dxa"/>
            </w:tcMar>
            <w:vAlign w:val="center"/>
          </w:tcPr>
          <w:p>
            <w:pPr>
              <w:overflowPunct w:val="0"/>
              <w:ind w:firstLine="0" w:firstLineChars="0"/>
              <w:jc w:val="center"/>
              <w:rPr>
                <w:color w:val="000000"/>
                <w:kern w:val="0"/>
                <w:sz w:val="24"/>
              </w:rPr>
            </w:pPr>
            <w:r>
              <w:rPr>
                <w:color w:val="000000"/>
                <w:kern w:val="0"/>
                <w:sz w:val="24"/>
              </w:rPr>
              <w:t>80分（含）</w:t>
            </w:r>
            <w:r>
              <w:rPr>
                <w:rFonts w:hint="eastAsia"/>
                <w:color w:val="000000"/>
                <w:kern w:val="0"/>
                <w:sz w:val="24"/>
              </w:rPr>
              <w:t>—</w:t>
            </w:r>
            <w:r>
              <w:rPr>
                <w:color w:val="000000"/>
                <w:kern w:val="0"/>
                <w:sz w:val="24"/>
              </w:rPr>
              <w:t>90分</w:t>
            </w:r>
          </w:p>
        </w:tc>
        <w:tc>
          <w:tcPr>
            <w:tcW w:w="3412" w:type="dxa"/>
            <w:vAlign w:val="center"/>
          </w:tcPr>
          <w:p>
            <w:pPr>
              <w:overflowPunct w:val="0"/>
              <w:ind w:firstLine="0" w:firstLineChars="0"/>
              <w:jc w:val="center"/>
              <w:rPr>
                <w:color w:val="000000"/>
                <w:kern w:val="0"/>
                <w:sz w:val="24"/>
              </w:rPr>
            </w:pPr>
            <w:r>
              <w:rPr>
                <w:color w:val="000000"/>
                <w:kern w:val="0"/>
                <w:sz w:val="24"/>
              </w:rPr>
              <w:t>[0.6，0.8）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78" w:type="dxa"/>
            <w:tcBorders>
              <w:bottom w:val="single" w:color="auto" w:sz="4" w:space="0"/>
            </w:tcBorders>
            <w:vAlign w:val="center"/>
          </w:tcPr>
          <w:p>
            <w:pPr>
              <w:overflowPunct w:val="0"/>
              <w:ind w:firstLine="0" w:firstLineChars="0"/>
              <w:jc w:val="center"/>
              <w:rPr>
                <w:color w:val="000000"/>
                <w:kern w:val="0"/>
                <w:sz w:val="24"/>
              </w:rPr>
            </w:pPr>
            <w:r>
              <w:rPr>
                <w:color w:val="000000"/>
                <w:kern w:val="0"/>
                <w:sz w:val="24"/>
              </w:rPr>
              <w:t>不合格</w:t>
            </w:r>
          </w:p>
        </w:tc>
        <w:tc>
          <w:tcPr>
            <w:tcW w:w="3440" w:type="dxa"/>
            <w:tcBorders>
              <w:bottom w:val="single" w:color="auto" w:sz="4" w:space="0"/>
            </w:tcBorders>
            <w:tcMar>
              <w:top w:w="0" w:type="dxa"/>
              <w:left w:w="0" w:type="dxa"/>
              <w:bottom w:w="0" w:type="dxa"/>
              <w:right w:w="0" w:type="dxa"/>
            </w:tcMar>
            <w:vAlign w:val="center"/>
          </w:tcPr>
          <w:p>
            <w:pPr>
              <w:overflowPunct w:val="0"/>
              <w:ind w:firstLine="0" w:firstLineChars="0"/>
              <w:jc w:val="center"/>
              <w:rPr>
                <w:color w:val="000000"/>
                <w:kern w:val="0"/>
                <w:sz w:val="24"/>
              </w:rPr>
            </w:pPr>
            <w:r>
              <w:rPr>
                <w:color w:val="000000"/>
                <w:kern w:val="0"/>
                <w:sz w:val="24"/>
              </w:rPr>
              <w:t>80分以下</w:t>
            </w:r>
          </w:p>
        </w:tc>
        <w:tc>
          <w:tcPr>
            <w:tcW w:w="3412" w:type="dxa"/>
            <w:tcBorders>
              <w:bottom w:val="single" w:color="auto" w:sz="4" w:space="0"/>
            </w:tcBorders>
            <w:vAlign w:val="center"/>
          </w:tcPr>
          <w:p>
            <w:pPr>
              <w:overflowPunct w:val="0"/>
              <w:ind w:firstLine="213" w:firstLineChars="83"/>
              <w:jc w:val="center"/>
              <w:rPr>
                <w:color w:val="000000"/>
                <w:kern w:val="0"/>
                <w:sz w:val="24"/>
              </w:rPr>
            </w:pPr>
            <w:r>
              <w:rPr>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130"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240" w:lineRule="exact"/>
              <w:ind w:firstLine="0" w:firstLineChars="0"/>
              <w:jc w:val="left"/>
              <w:rPr>
                <w:color w:val="000000"/>
                <w:kern w:val="0"/>
                <w:sz w:val="24"/>
              </w:rPr>
            </w:pPr>
            <w:r>
              <w:rPr>
                <w:color w:val="000000"/>
                <w:kern w:val="0"/>
                <w:sz w:val="24"/>
              </w:rPr>
              <w:t>注：最终考核等级若低于按考核得分初始核定等级，考核兑现系数按照最终考核等级中的最高兑现系数确定。</w:t>
            </w:r>
          </w:p>
        </w:tc>
      </w:tr>
    </w:tbl>
    <w:p>
      <w:pPr>
        <w:overflowPunct w:val="0"/>
        <w:spacing w:line="560" w:lineRule="exact"/>
        <w:ind w:firstLine="676"/>
        <w:rPr>
          <w:color w:val="000000"/>
          <w:kern w:val="0"/>
          <w:szCs w:val="32"/>
        </w:rPr>
      </w:pPr>
      <w:r>
        <w:rPr>
          <w:color w:val="000000"/>
          <w:kern w:val="0"/>
          <w:szCs w:val="32"/>
        </w:rPr>
        <w:t>3.任期激励收入：任期激励收入是与任期经营业绩考核结果相联系的薪酬收入。根据任期考核评价结果，在不超过职业经理人任期内年薪总水平的30%以内确定。核定方式为：</w:t>
      </w:r>
    </w:p>
    <w:p>
      <w:pPr>
        <w:overflowPunct w:val="0"/>
        <w:spacing w:line="560" w:lineRule="exact"/>
        <w:ind w:firstLine="676"/>
        <w:rPr>
          <w:color w:val="000000"/>
          <w:kern w:val="0"/>
          <w:szCs w:val="32"/>
        </w:rPr>
      </w:pPr>
      <w:r>
        <w:rPr>
          <w:color w:val="000000"/>
          <w:kern w:val="0"/>
          <w:szCs w:val="32"/>
        </w:rPr>
        <w:t>任期激励收入=任期内三年的年薪总水平之和×30%×任期经营业绩考核兑现系数，即：W任期=(W1+W2+W3)×30%×任期经营业绩考核系数。其中：Wl、W2、W3分别为任期内第一年、第二年、 第三年的年度薪酬。</w:t>
      </w:r>
    </w:p>
    <w:p>
      <w:pPr>
        <w:overflowPunct w:val="0"/>
        <w:spacing w:after="200" w:line="560" w:lineRule="exact"/>
        <w:ind w:firstLine="482" w:firstLineChars="0"/>
        <w:jc w:val="center"/>
        <w:rPr>
          <w:rFonts w:eastAsia="楷体_GB2312"/>
          <w:b/>
          <w:bCs/>
          <w:color w:val="000000"/>
          <w:kern w:val="0"/>
          <w:sz w:val="30"/>
          <w:szCs w:val="30"/>
        </w:rPr>
      </w:pPr>
      <w:r>
        <w:rPr>
          <w:rFonts w:eastAsia="楷体_GB2312"/>
          <w:b/>
          <w:bCs/>
          <w:color w:val="000000"/>
          <w:kern w:val="0"/>
          <w:sz w:val="30"/>
          <w:szCs w:val="30"/>
        </w:rPr>
        <w:t>表</w:t>
      </w:r>
      <w:r>
        <w:rPr>
          <w:rFonts w:hint="eastAsia" w:eastAsia="楷体_GB2312"/>
          <w:b/>
          <w:bCs/>
          <w:color w:val="000000"/>
          <w:kern w:val="0"/>
          <w:sz w:val="30"/>
          <w:szCs w:val="30"/>
        </w:rPr>
        <w:t>6</w:t>
      </w:r>
      <w:r>
        <w:rPr>
          <w:rFonts w:eastAsia="楷体_GB2312"/>
          <w:b/>
          <w:bCs/>
          <w:color w:val="000000"/>
          <w:kern w:val="0"/>
          <w:sz w:val="30"/>
          <w:szCs w:val="30"/>
        </w:rPr>
        <w:t>：任期经营业绩考核兑现系数</w:t>
      </w:r>
    </w:p>
    <w:tbl>
      <w:tblPr>
        <w:tblStyle w:val="22"/>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3119"/>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blHeader/>
          <w:jc w:val="center"/>
        </w:trPr>
        <w:tc>
          <w:tcPr>
            <w:tcW w:w="2257" w:type="dxa"/>
            <w:tcBorders>
              <w:bottom w:val="single" w:color="auto" w:sz="4" w:space="0"/>
            </w:tcBorders>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考核等级</w:t>
            </w:r>
          </w:p>
        </w:tc>
        <w:tc>
          <w:tcPr>
            <w:tcW w:w="3119" w:type="dxa"/>
            <w:tcBorders>
              <w:bottom w:val="single" w:color="auto" w:sz="4" w:space="0"/>
            </w:tcBorders>
            <w:shd w:val="clear" w:color="auto" w:fill="BDD6EE"/>
            <w:vAlign w:val="center"/>
          </w:tcPr>
          <w:p>
            <w:pPr>
              <w:overflowPunct w:val="0"/>
              <w:snapToGrid w:val="0"/>
              <w:ind w:firstLine="209" w:firstLineChars="82"/>
              <w:jc w:val="center"/>
              <w:rPr>
                <w:b/>
                <w:bCs/>
                <w:color w:val="000000"/>
                <w:kern w:val="0"/>
                <w:sz w:val="24"/>
              </w:rPr>
            </w:pPr>
            <w:r>
              <w:rPr>
                <w:b/>
                <w:bCs/>
                <w:color w:val="000000"/>
                <w:kern w:val="0"/>
                <w:sz w:val="24"/>
              </w:rPr>
              <w:t>考核得分</w:t>
            </w:r>
          </w:p>
        </w:tc>
        <w:tc>
          <w:tcPr>
            <w:tcW w:w="3841" w:type="dxa"/>
            <w:tcBorders>
              <w:bottom w:val="single" w:color="auto" w:sz="4" w:space="0"/>
            </w:tcBorders>
            <w:shd w:val="clear" w:color="auto" w:fill="BDD6EE"/>
            <w:vAlign w:val="center"/>
          </w:tcPr>
          <w:p>
            <w:pPr>
              <w:overflowPunct w:val="0"/>
              <w:snapToGrid w:val="0"/>
              <w:ind w:firstLine="0" w:firstLineChars="0"/>
              <w:jc w:val="center"/>
              <w:rPr>
                <w:b/>
                <w:bCs/>
                <w:color w:val="000000"/>
                <w:kern w:val="0"/>
                <w:sz w:val="24"/>
              </w:rPr>
            </w:pPr>
            <w:r>
              <w:rPr>
                <w:b/>
                <w:bCs/>
                <w:color w:val="000000"/>
                <w:kern w:val="0"/>
                <w:sz w:val="24"/>
              </w:rPr>
              <w:t>任期经营业绩考核兑现系数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57" w:type="dxa"/>
            <w:vAlign w:val="center"/>
          </w:tcPr>
          <w:p>
            <w:pPr>
              <w:overflowPunct w:val="0"/>
              <w:snapToGrid w:val="0"/>
              <w:ind w:firstLine="0" w:firstLineChars="0"/>
              <w:jc w:val="center"/>
              <w:rPr>
                <w:color w:val="000000"/>
                <w:kern w:val="0"/>
                <w:sz w:val="24"/>
              </w:rPr>
            </w:pPr>
            <w:r>
              <w:rPr>
                <w:color w:val="000000"/>
                <w:kern w:val="0"/>
                <w:sz w:val="24"/>
              </w:rPr>
              <w:t>优秀</w:t>
            </w:r>
          </w:p>
        </w:tc>
        <w:tc>
          <w:tcPr>
            <w:tcW w:w="3119" w:type="dxa"/>
            <w:tcMar>
              <w:top w:w="0" w:type="dxa"/>
              <w:left w:w="0" w:type="dxa"/>
              <w:bottom w:w="0" w:type="dxa"/>
              <w:right w:w="0" w:type="dxa"/>
            </w:tcMar>
            <w:vAlign w:val="center"/>
          </w:tcPr>
          <w:p>
            <w:pPr>
              <w:overflowPunct w:val="0"/>
              <w:snapToGrid w:val="0"/>
              <w:ind w:firstLine="0" w:firstLineChars="0"/>
              <w:jc w:val="center"/>
              <w:rPr>
                <w:color w:val="000000"/>
                <w:kern w:val="0"/>
                <w:sz w:val="24"/>
              </w:rPr>
            </w:pPr>
            <w:r>
              <w:rPr>
                <w:color w:val="000000"/>
                <w:kern w:val="0"/>
                <w:sz w:val="24"/>
              </w:rPr>
              <w:t>100分（含）-120分（含）</w:t>
            </w:r>
          </w:p>
        </w:tc>
        <w:tc>
          <w:tcPr>
            <w:tcW w:w="3841" w:type="dxa"/>
            <w:vAlign w:val="center"/>
          </w:tcPr>
          <w:p>
            <w:pPr>
              <w:overflowPunct w:val="0"/>
              <w:snapToGrid w:val="0"/>
              <w:ind w:firstLine="0" w:firstLineChars="0"/>
              <w:jc w:val="center"/>
              <w:rPr>
                <w:color w:val="000000"/>
                <w:kern w:val="0"/>
                <w:sz w:val="24"/>
              </w:rPr>
            </w:pPr>
            <w:r>
              <w:rPr>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257" w:type="dxa"/>
            <w:vAlign w:val="center"/>
          </w:tcPr>
          <w:p>
            <w:pPr>
              <w:overflowPunct w:val="0"/>
              <w:snapToGrid w:val="0"/>
              <w:ind w:firstLine="0" w:firstLineChars="0"/>
              <w:jc w:val="center"/>
              <w:rPr>
                <w:color w:val="000000"/>
                <w:kern w:val="0"/>
                <w:sz w:val="24"/>
              </w:rPr>
            </w:pPr>
            <w:r>
              <w:rPr>
                <w:color w:val="000000"/>
                <w:kern w:val="0"/>
                <w:sz w:val="24"/>
              </w:rPr>
              <w:t>良好</w:t>
            </w:r>
          </w:p>
        </w:tc>
        <w:tc>
          <w:tcPr>
            <w:tcW w:w="3119" w:type="dxa"/>
            <w:tcMar>
              <w:top w:w="0" w:type="dxa"/>
              <w:left w:w="0" w:type="dxa"/>
              <w:bottom w:w="0" w:type="dxa"/>
              <w:right w:w="0" w:type="dxa"/>
            </w:tcMar>
            <w:vAlign w:val="center"/>
          </w:tcPr>
          <w:p>
            <w:pPr>
              <w:overflowPunct w:val="0"/>
              <w:snapToGrid w:val="0"/>
              <w:ind w:firstLine="0" w:firstLineChars="0"/>
              <w:jc w:val="center"/>
              <w:rPr>
                <w:color w:val="000000"/>
                <w:kern w:val="0"/>
                <w:sz w:val="24"/>
              </w:rPr>
            </w:pPr>
            <w:r>
              <w:rPr>
                <w:color w:val="000000"/>
                <w:kern w:val="0"/>
                <w:sz w:val="24"/>
              </w:rPr>
              <w:t>90（含）-100分</w:t>
            </w:r>
          </w:p>
        </w:tc>
        <w:tc>
          <w:tcPr>
            <w:tcW w:w="3841" w:type="dxa"/>
            <w:vAlign w:val="center"/>
          </w:tcPr>
          <w:p>
            <w:pPr>
              <w:overflowPunct w:val="0"/>
              <w:snapToGrid w:val="0"/>
              <w:ind w:firstLine="0" w:firstLineChars="0"/>
              <w:jc w:val="center"/>
              <w:rPr>
                <w:color w:val="000000"/>
                <w:kern w:val="0"/>
                <w:sz w:val="24"/>
              </w:rPr>
            </w:pPr>
            <w:r>
              <w:rPr>
                <w:color w:val="000000"/>
                <w:kern w:val="0"/>
                <w:sz w:val="24"/>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57" w:type="dxa"/>
            <w:vAlign w:val="center"/>
          </w:tcPr>
          <w:p>
            <w:pPr>
              <w:overflowPunct w:val="0"/>
              <w:snapToGrid w:val="0"/>
              <w:ind w:firstLine="0" w:firstLineChars="0"/>
              <w:jc w:val="center"/>
              <w:rPr>
                <w:color w:val="000000"/>
                <w:kern w:val="0"/>
                <w:sz w:val="24"/>
              </w:rPr>
            </w:pPr>
            <w:r>
              <w:rPr>
                <w:color w:val="000000"/>
                <w:kern w:val="0"/>
                <w:sz w:val="24"/>
              </w:rPr>
              <w:t>合格</w:t>
            </w:r>
          </w:p>
        </w:tc>
        <w:tc>
          <w:tcPr>
            <w:tcW w:w="3119" w:type="dxa"/>
            <w:tcMar>
              <w:top w:w="0" w:type="dxa"/>
              <w:left w:w="0" w:type="dxa"/>
              <w:bottom w:w="0" w:type="dxa"/>
              <w:right w:w="0" w:type="dxa"/>
            </w:tcMar>
            <w:vAlign w:val="center"/>
          </w:tcPr>
          <w:p>
            <w:pPr>
              <w:overflowPunct w:val="0"/>
              <w:snapToGrid w:val="0"/>
              <w:ind w:firstLine="0" w:firstLineChars="0"/>
              <w:jc w:val="center"/>
              <w:rPr>
                <w:color w:val="000000"/>
                <w:kern w:val="0"/>
                <w:sz w:val="24"/>
              </w:rPr>
            </w:pPr>
            <w:r>
              <w:rPr>
                <w:color w:val="000000"/>
                <w:kern w:val="0"/>
                <w:sz w:val="24"/>
              </w:rPr>
              <w:t>80分（含）-90分</w:t>
            </w:r>
          </w:p>
        </w:tc>
        <w:tc>
          <w:tcPr>
            <w:tcW w:w="3841" w:type="dxa"/>
            <w:vAlign w:val="center"/>
          </w:tcPr>
          <w:p>
            <w:pPr>
              <w:overflowPunct w:val="0"/>
              <w:snapToGrid w:val="0"/>
              <w:ind w:firstLine="0" w:firstLineChars="0"/>
              <w:jc w:val="center"/>
              <w:rPr>
                <w:color w:val="000000"/>
                <w:kern w:val="0"/>
                <w:sz w:val="24"/>
              </w:rPr>
            </w:pPr>
            <w:r>
              <w:rPr>
                <w:color w:val="000000"/>
                <w:kern w:val="0"/>
                <w:sz w:val="24"/>
              </w:rPr>
              <w:t>[0.6，0.8）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57" w:type="dxa"/>
            <w:tcBorders>
              <w:bottom w:val="single" w:color="auto" w:sz="4" w:space="0"/>
            </w:tcBorders>
            <w:vAlign w:val="center"/>
          </w:tcPr>
          <w:p>
            <w:pPr>
              <w:overflowPunct w:val="0"/>
              <w:snapToGrid w:val="0"/>
              <w:ind w:firstLine="0" w:firstLineChars="0"/>
              <w:jc w:val="center"/>
              <w:rPr>
                <w:color w:val="000000"/>
                <w:kern w:val="0"/>
                <w:sz w:val="24"/>
              </w:rPr>
            </w:pPr>
            <w:r>
              <w:rPr>
                <w:color w:val="000000"/>
                <w:kern w:val="0"/>
                <w:sz w:val="24"/>
              </w:rPr>
              <w:t>不合格</w:t>
            </w:r>
          </w:p>
        </w:tc>
        <w:tc>
          <w:tcPr>
            <w:tcW w:w="3119" w:type="dxa"/>
            <w:tcBorders>
              <w:bottom w:val="single" w:color="auto" w:sz="4" w:space="0"/>
            </w:tcBorders>
            <w:tcMar>
              <w:top w:w="0" w:type="dxa"/>
              <w:left w:w="0" w:type="dxa"/>
              <w:bottom w:w="0" w:type="dxa"/>
              <w:right w:w="0" w:type="dxa"/>
            </w:tcMar>
            <w:vAlign w:val="center"/>
          </w:tcPr>
          <w:p>
            <w:pPr>
              <w:overflowPunct w:val="0"/>
              <w:snapToGrid w:val="0"/>
              <w:ind w:firstLine="0" w:firstLineChars="0"/>
              <w:jc w:val="center"/>
              <w:rPr>
                <w:color w:val="000000"/>
                <w:kern w:val="0"/>
                <w:sz w:val="24"/>
              </w:rPr>
            </w:pPr>
            <w:r>
              <w:rPr>
                <w:color w:val="000000"/>
                <w:kern w:val="0"/>
                <w:sz w:val="24"/>
              </w:rPr>
              <w:t>80分以下</w:t>
            </w:r>
          </w:p>
        </w:tc>
        <w:tc>
          <w:tcPr>
            <w:tcW w:w="3841" w:type="dxa"/>
            <w:tcBorders>
              <w:bottom w:val="single" w:color="auto" w:sz="4" w:space="0"/>
            </w:tcBorders>
            <w:vAlign w:val="center"/>
          </w:tcPr>
          <w:p>
            <w:pPr>
              <w:overflowPunct w:val="0"/>
              <w:snapToGrid w:val="0"/>
              <w:ind w:firstLine="213" w:firstLineChars="83"/>
              <w:jc w:val="center"/>
              <w:rPr>
                <w:color w:val="000000"/>
                <w:kern w:val="0"/>
                <w:sz w:val="24"/>
              </w:rPr>
            </w:pPr>
            <w:r>
              <w:rPr>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217"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ind w:firstLine="0" w:firstLineChars="0"/>
              <w:jc w:val="left"/>
              <w:rPr>
                <w:color w:val="000000"/>
                <w:kern w:val="0"/>
                <w:sz w:val="24"/>
              </w:rPr>
            </w:pPr>
            <w:r>
              <w:rPr>
                <w:color w:val="000000"/>
                <w:kern w:val="0"/>
                <w:sz w:val="24"/>
              </w:rPr>
              <w:t>注：最终考核等级若低于按考核得分初始核定等级，考核兑现系数按照最终考核等级中的最高兑现系数确定。</w:t>
            </w:r>
          </w:p>
        </w:tc>
      </w:tr>
    </w:tbl>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bookmarkStart w:id="12" w:name="_Toc72571017"/>
      <w:bookmarkStart w:id="13" w:name="_Toc83841901"/>
      <w:r>
        <w:rPr>
          <w:rFonts w:ascii="Times New Roman" w:hAnsi="Times New Roman" w:eastAsia="楷体_GB2312" w:cs="Times New Roman"/>
          <w:bCs w:val="0"/>
          <w:color w:val="000000" w:themeColor="text1"/>
          <w14:textFill>
            <w14:solidFill>
              <w14:schemeClr w14:val="tx1"/>
            </w14:solidFill>
          </w14:textFill>
        </w:rPr>
        <w:t>（三）薪酬管理</w:t>
      </w:r>
      <w:bookmarkEnd w:id="12"/>
      <w:bookmarkEnd w:id="13"/>
    </w:p>
    <w:p>
      <w:pPr>
        <w:overflowPunct w:val="0"/>
        <w:ind w:firstLine="676"/>
        <w:rPr>
          <w:color w:val="000000"/>
          <w:kern w:val="0"/>
          <w:szCs w:val="32"/>
        </w:rPr>
      </w:pPr>
      <w:r>
        <w:rPr>
          <w:color w:val="000000"/>
          <w:kern w:val="0"/>
          <w:szCs w:val="32"/>
        </w:rPr>
        <w:t>1.薪酬兑现。基本年薪按月固定发放。绩效年薪、任期激励在经营业绩考核完成后兑现，不进行预发，其中任期激励实施延期支付，任期考核后三年内兑现，兑现比例分别为30%、30%、40%。</w:t>
      </w:r>
    </w:p>
    <w:p>
      <w:pPr>
        <w:overflowPunct w:val="0"/>
        <w:ind w:firstLine="676"/>
        <w:rPr>
          <w:color w:val="000000"/>
          <w:kern w:val="0"/>
          <w:szCs w:val="32"/>
        </w:rPr>
      </w:pPr>
      <w:r>
        <w:rPr>
          <w:color w:val="000000"/>
          <w:kern w:val="0"/>
          <w:szCs w:val="32"/>
        </w:rPr>
        <w:t>2.</w:t>
      </w:r>
      <w:r>
        <w:rPr>
          <w:rFonts w:hint="eastAsia"/>
          <w:color w:val="000000"/>
          <w:kern w:val="0"/>
          <w:szCs w:val="32"/>
        </w:rPr>
        <w:t>年度经营业绩考核不合格或按第四项市场化退出中规定的（一）退出条件应当退出岗位的，扣减当年全部绩效年薪。任期经营业绩考核不合格的，应当扣减全部任期激励。</w:t>
      </w:r>
    </w:p>
    <w:p>
      <w:pPr>
        <w:overflowPunct w:val="0"/>
        <w:ind w:firstLine="676"/>
        <w:rPr>
          <w:color w:val="000000"/>
          <w:kern w:val="0"/>
          <w:szCs w:val="32"/>
        </w:rPr>
      </w:pPr>
      <w:r>
        <w:rPr>
          <w:color w:val="000000"/>
          <w:kern w:val="0"/>
          <w:szCs w:val="32"/>
        </w:rPr>
        <w:t>3.解除（终止）聘用和劳动关系后（聘期届满考核合格但不再续聘、因公调离、退休、身故等特殊原因的除外），原则上不得兑现当年绩效年薪、任期激励、专项激励、任期超额利润分享等。</w:t>
      </w:r>
    </w:p>
    <w:p>
      <w:pPr>
        <w:overflowPunct w:val="0"/>
        <w:ind w:firstLine="676"/>
        <w:rPr>
          <w:color w:val="000000"/>
          <w:kern w:val="0"/>
          <w:szCs w:val="32"/>
        </w:rPr>
      </w:pPr>
      <w:r>
        <w:rPr>
          <w:color w:val="000000"/>
          <w:kern w:val="0"/>
          <w:szCs w:val="32"/>
        </w:rPr>
        <w:t>4.职业经理人在任期出现职责内风险损失，或在负责的业务领域出现重大违纪事件，给公司造成重大不良影响或造成国有资产流失的，董事会有权止付所有未支付部分，并保留根据《劳动合同法》等法律法规，将相应期限内已发放的绩效年薪部分或全部追回的权利。</w:t>
      </w:r>
    </w:p>
    <w:p>
      <w:pPr>
        <w:overflowPunct w:val="0"/>
        <w:ind w:firstLine="676"/>
        <w:outlineLvl w:val="1"/>
        <w:rPr>
          <w:rFonts w:eastAsia="黑体"/>
          <w:color w:val="000000"/>
          <w:szCs w:val="36"/>
        </w:rPr>
      </w:pPr>
      <w:r>
        <w:rPr>
          <w:rFonts w:hint="eastAsia" w:eastAsia="黑体"/>
          <w:color w:val="000000"/>
          <w:szCs w:val="36"/>
        </w:rPr>
        <w:t>四、市场化退出</w:t>
      </w:r>
    </w:p>
    <w:p>
      <w:pPr>
        <w:overflowPunct w:val="0"/>
        <w:ind w:firstLine="676"/>
        <w:rPr>
          <w:color w:val="000000"/>
          <w:kern w:val="0"/>
          <w:szCs w:val="32"/>
        </w:rPr>
      </w:pPr>
      <w:r>
        <w:rPr>
          <w:color w:val="000000"/>
          <w:kern w:val="0"/>
          <w:szCs w:val="32"/>
        </w:rPr>
        <w:t>建立职业经理人市场化退出机制，制定相关制度或在岗位聘任协议书中明确。</w:t>
      </w:r>
    </w:p>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（一）退出条件</w:t>
      </w:r>
    </w:p>
    <w:p>
      <w:pPr>
        <w:overflowPunct w:val="0"/>
        <w:ind w:firstLine="676"/>
        <w:rPr>
          <w:color w:val="000000"/>
          <w:kern w:val="0"/>
          <w:szCs w:val="32"/>
        </w:rPr>
      </w:pPr>
      <w:r>
        <w:rPr>
          <w:color w:val="000000"/>
          <w:kern w:val="0"/>
          <w:szCs w:val="32"/>
        </w:rPr>
        <w:t>依据职业经理人岗位聘任协议书约定和经营业绩考核结果等，出现以下情形的，应解除（终止）聘任关系。</w:t>
      </w:r>
    </w:p>
    <w:p>
      <w:pPr>
        <w:overflowPunct w:val="0"/>
        <w:ind w:firstLine="676"/>
        <w:rPr>
          <w:color w:val="000000"/>
          <w:kern w:val="0"/>
          <w:szCs w:val="32"/>
        </w:rPr>
      </w:pPr>
      <w:r>
        <w:rPr>
          <w:color w:val="000000"/>
          <w:kern w:val="0"/>
          <w:szCs w:val="32"/>
        </w:rPr>
        <w:t>1.年度经营业绩考核结果未达到完成底线（低于70分），年度或任期经营业绩考核主要指标未达到完成底线（完成率低于70%）。</w:t>
      </w:r>
    </w:p>
    <w:p>
      <w:pPr>
        <w:overflowPunct w:val="0"/>
        <w:ind w:firstLine="676"/>
        <w:rPr>
          <w:color w:val="000000"/>
          <w:kern w:val="0"/>
          <w:szCs w:val="32"/>
        </w:rPr>
      </w:pPr>
      <w:r>
        <w:rPr>
          <w:color w:val="000000"/>
          <w:kern w:val="0"/>
          <w:szCs w:val="32"/>
        </w:rPr>
        <w:t>2.聘任期限内累计两个年度经营业绩考核结果为不合格（低于80分）或任期经营业绩考核结果为不合格的（低于80分）。</w:t>
      </w:r>
    </w:p>
    <w:p>
      <w:pPr>
        <w:overflowPunct w:val="0"/>
        <w:ind w:firstLine="676"/>
        <w:rPr>
          <w:color w:val="000000"/>
          <w:kern w:val="0"/>
          <w:szCs w:val="32"/>
        </w:rPr>
      </w:pPr>
      <w:r>
        <w:rPr>
          <w:color w:val="000000"/>
          <w:kern w:val="0"/>
          <w:szCs w:val="32"/>
        </w:rPr>
        <w:t>3.任期综合考核评价为不称职，或者在年度综合考核评价总经理得分连续两年靠后，其他经理层成员连续两年排名末位，经分析研判确属不胜任或者不适宜担任现职的。</w:t>
      </w:r>
    </w:p>
    <w:p>
      <w:pPr>
        <w:overflowPunct w:val="0"/>
        <w:ind w:firstLine="676"/>
        <w:rPr>
          <w:color w:val="000000"/>
          <w:kern w:val="0"/>
          <w:szCs w:val="32"/>
        </w:rPr>
      </w:pPr>
      <w:r>
        <w:rPr>
          <w:color w:val="000000"/>
          <w:kern w:val="0"/>
          <w:szCs w:val="32"/>
        </w:rPr>
        <w:t>4.聘任期间对重大决策失误、重大资产损失、重大安全事故等负有重要领导责任，或对违规经营投资造成国有资产损失负有责任，按有关规定追责免职的。</w:t>
      </w:r>
    </w:p>
    <w:p>
      <w:pPr>
        <w:overflowPunct w:val="0"/>
        <w:ind w:firstLine="676"/>
        <w:rPr>
          <w:color w:val="000000"/>
          <w:kern w:val="0"/>
          <w:szCs w:val="32"/>
        </w:rPr>
      </w:pPr>
      <w:r>
        <w:rPr>
          <w:color w:val="000000"/>
          <w:kern w:val="0"/>
          <w:szCs w:val="32"/>
        </w:rPr>
        <w:t>5.有违规违纪违法行为或严重违反社会公序良俗等其他原因，子企业董事会或</w:t>
      </w:r>
      <w:r>
        <w:rPr>
          <w:rFonts w:hint="eastAsia"/>
        </w:rPr>
        <w:t>艾特斯</w:t>
      </w:r>
      <w:r>
        <w:rPr>
          <w:color w:val="000000"/>
          <w:kern w:val="0"/>
          <w:szCs w:val="32"/>
        </w:rPr>
        <w:t>公司党委认为不适合在该岗位继续工作的。</w:t>
      </w:r>
    </w:p>
    <w:p>
      <w:pPr>
        <w:overflowPunct w:val="0"/>
        <w:ind w:firstLine="676"/>
        <w:rPr>
          <w:color w:val="000000"/>
          <w:kern w:val="0"/>
          <w:szCs w:val="32"/>
        </w:rPr>
      </w:pPr>
      <w:r>
        <w:rPr>
          <w:color w:val="000000"/>
          <w:kern w:val="0"/>
          <w:szCs w:val="32"/>
        </w:rPr>
        <w:t>6.因健康原因无法正常履行工作职责的。</w:t>
      </w:r>
    </w:p>
    <w:p>
      <w:pPr>
        <w:overflowPunct w:val="0"/>
        <w:ind w:firstLine="676"/>
        <w:rPr>
          <w:color w:val="000000"/>
          <w:kern w:val="0"/>
          <w:szCs w:val="32"/>
        </w:rPr>
      </w:pPr>
      <w:r>
        <w:rPr>
          <w:color w:val="000000"/>
          <w:kern w:val="0"/>
          <w:szCs w:val="32"/>
        </w:rPr>
        <w:t>7.聘期未满但双方协商一致解除聘任合同或者聘期届满不再续聘的。</w:t>
      </w:r>
    </w:p>
    <w:p>
      <w:pPr>
        <w:overflowPunct w:val="0"/>
        <w:ind w:firstLine="676"/>
        <w:rPr>
          <w:color w:val="000000"/>
          <w:kern w:val="0"/>
          <w:szCs w:val="32"/>
        </w:rPr>
      </w:pPr>
      <w:r>
        <w:rPr>
          <w:color w:val="000000"/>
          <w:kern w:val="0"/>
          <w:szCs w:val="32"/>
        </w:rPr>
        <w:t>8.试用期内或试用期满，经试用发现或试用考核结果不适宜聘任的情形。</w:t>
      </w:r>
    </w:p>
    <w:p>
      <w:pPr>
        <w:overflowPunct w:val="0"/>
        <w:ind w:firstLine="676"/>
        <w:rPr>
          <w:color w:val="000000"/>
          <w:kern w:val="0"/>
          <w:szCs w:val="32"/>
        </w:rPr>
      </w:pPr>
      <w:r>
        <w:rPr>
          <w:color w:val="000000"/>
          <w:kern w:val="0"/>
          <w:szCs w:val="32"/>
        </w:rPr>
        <w:t>9.子企业董事会或</w:t>
      </w:r>
      <w:r>
        <w:rPr>
          <w:rFonts w:hint="eastAsia"/>
        </w:rPr>
        <w:t>艾特斯</w:t>
      </w:r>
      <w:r>
        <w:rPr>
          <w:color w:val="000000"/>
          <w:kern w:val="0"/>
          <w:szCs w:val="32"/>
        </w:rPr>
        <w:t>公司党委认定不适宜继续聘任的其他情形。</w:t>
      </w:r>
    </w:p>
    <w:p>
      <w:pPr>
        <w:overflowPunct w:val="0"/>
        <w:ind w:firstLine="676"/>
        <w:rPr>
          <w:color w:val="000000"/>
          <w:kern w:val="0"/>
          <w:szCs w:val="32"/>
        </w:rPr>
      </w:pPr>
      <w:r>
        <w:rPr>
          <w:color w:val="000000"/>
          <w:kern w:val="0"/>
          <w:szCs w:val="32"/>
        </w:rPr>
        <w:t>对认定不胜任或不适宜担任现职的职业经理人，不得以任期未满为由继续留任，应当及时解聘，在职业经理人解除（终止）聘任关系的同时，如有党组织职务、董事会职务应当一并免去，并依法解除（终止）劳动关系。</w:t>
      </w:r>
    </w:p>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（二）退出程序</w:t>
      </w:r>
    </w:p>
    <w:p>
      <w:pPr>
        <w:overflowPunct w:val="0"/>
        <w:ind w:firstLine="676"/>
        <w:rPr>
          <w:color w:val="000000"/>
          <w:kern w:val="0"/>
          <w:szCs w:val="32"/>
        </w:rPr>
      </w:pPr>
      <w:r>
        <w:rPr>
          <w:color w:val="000000"/>
          <w:kern w:val="0"/>
          <w:szCs w:val="32"/>
        </w:rPr>
        <w:t>1.个人请辞。市场化选聘的职业经理人在聘任合同期未满辞职或聘任合同期满自愿离职的，应当遵循协商原则，解除与企业的聘任合同。个人请辞的，应至少提前一个月以书面形式向董事会提出申请。</w:t>
      </w:r>
    </w:p>
    <w:p>
      <w:pPr>
        <w:overflowPunct w:val="0"/>
        <w:ind w:firstLine="676"/>
        <w:rPr>
          <w:color w:val="000000"/>
          <w:kern w:val="0"/>
          <w:szCs w:val="32"/>
        </w:rPr>
      </w:pPr>
      <w:r>
        <w:rPr>
          <w:color w:val="000000"/>
          <w:kern w:val="0"/>
          <w:szCs w:val="32"/>
        </w:rPr>
        <w:t>2.企业解聘。市场化选聘的经理层成员聘任合同期未满或聘任合同期满后，拟解除聘任合同的，经子企业董事会在一定范围酝酿，商请</w:t>
      </w:r>
      <w:r>
        <w:rPr>
          <w:rFonts w:hint="eastAsia"/>
          <w:color w:val="000000"/>
          <w:kern w:val="0"/>
          <w:szCs w:val="32"/>
        </w:rPr>
        <w:t>艾特斯</w:t>
      </w:r>
      <w:r>
        <w:rPr>
          <w:color w:val="000000"/>
          <w:kern w:val="0"/>
          <w:szCs w:val="32"/>
        </w:rPr>
        <w:t>公司党委同意后，启动相关工作程序，并及时向</w:t>
      </w:r>
      <w:r>
        <w:rPr>
          <w:rFonts w:hint="eastAsia"/>
          <w:color w:val="000000"/>
          <w:kern w:val="0"/>
          <w:szCs w:val="32"/>
        </w:rPr>
        <w:t>艾特斯</w:t>
      </w:r>
      <w:r>
        <w:rPr>
          <w:color w:val="000000"/>
          <w:kern w:val="0"/>
          <w:szCs w:val="32"/>
        </w:rPr>
        <w:t>公司党委备案。</w:t>
      </w:r>
    </w:p>
    <w:p>
      <w:pPr>
        <w:pStyle w:val="4"/>
        <w:keepNext w:val="0"/>
        <w:keepLines w:val="0"/>
        <w:tabs>
          <w:tab w:val="left" w:pos="1276"/>
          <w:tab w:val="left" w:pos="1560"/>
        </w:tabs>
        <w:overflowPunct w:val="0"/>
        <w:spacing w:before="0" w:after="0"/>
        <w:ind w:firstLine="676"/>
        <w:rPr>
          <w:rFonts w:ascii="Times New Roman" w:hAnsi="Times New Roman" w:eastAsia="楷体_GB2312" w:cs="Times New Roman"/>
          <w:bCs w:val="0"/>
          <w:color w:val="000000" w:themeColor="text1"/>
          <w14:textFill>
            <w14:solidFill>
              <w14:schemeClr w14:val="tx1"/>
            </w14:solidFill>
          </w14:textFill>
        </w:rPr>
      </w:pPr>
      <w:r>
        <w:rPr>
          <w:rFonts w:ascii="Times New Roman" w:hAnsi="Times New Roman" w:eastAsia="楷体_GB2312" w:cs="Times New Roman"/>
          <w:bCs w:val="0"/>
          <w:color w:val="000000" w:themeColor="text1"/>
          <w14:textFill>
            <w14:solidFill>
              <w14:schemeClr w14:val="tx1"/>
            </w14:solidFill>
          </w14:textFill>
        </w:rPr>
        <w:t>（三）市场化选聘职业经理人成员退休相关事宜按照国家和省有关政策执行。</w:t>
      </w:r>
    </w:p>
    <w:p>
      <w:pPr>
        <w:overflowPunct w:val="0"/>
        <w:ind w:firstLine="676"/>
        <w:rPr>
          <w:rFonts w:eastAsia="楷体_GB2312"/>
          <w:color w:val="000000" w:themeColor="text1"/>
          <w14:textFill>
            <w14:solidFill>
              <w14:schemeClr w14:val="tx1"/>
            </w14:solidFill>
          </w14:textFill>
        </w:rPr>
      </w:pPr>
      <w:r>
        <w:rPr>
          <w:rFonts w:eastAsia="楷体_GB2312"/>
          <w:color w:val="000000" w:themeColor="text1"/>
          <w14:textFill>
            <w14:solidFill>
              <w14:schemeClr w14:val="tx1"/>
            </w14:solidFill>
          </w14:textFill>
        </w:rPr>
        <w:br w:type="page"/>
      </w:r>
    </w:p>
    <w:p>
      <w:pPr>
        <w:adjustRightInd w:val="0"/>
        <w:snapToGrid w:val="0"/>
        <w:spacing w:line="560" w:lineRule="exact"/>
        <w:ind w:firstLine="0" w:firstLineChars="0"/>
        <w:rPr>
          <w:rFonts w:eastAsia="黑体"/>
          <w:bCs/>
          <w:szCs w:val="32"/>
          <w:lang w:bidi="en-US"/>
        </w:rPr>
      </w:pPr>
      <w:r>
        <w:rPr>
          <w:rFonts w:hint="eastAsia" w:eastAsia="黑体"/>
          <w:bCs/>
          <w:szCs w:val="32"/>
          <w:lang w:bidi="en-US"/>
        </w:rPr>
        <w:t>附件5</w:t>
      </w:r>
    </w:p>
    <w:p>
      <w:pPr>
        <w:adjustRightInd w:val="0"/>
        <w:snapToGrid w:val="0"/>
        <w:spacing w:line="440" w:lineRule="exact"/>
        <w:ind w:firstLine="0" w:firstLineChars="0"/>
        <w:jc w:val="center"/>
        <w:rPr>
          <w:rFonts w:ascii="华文中宋" w:hAnsi="华文中宋" w:eastAsia="华文中宋"/>
          <w:b/>
          <w:bCs/>
          <w:sz w:val="36"/>
          <w:szCs w:val="36"/>
        </w:rPr>
      </w:pPr>
      <w:r>
        <w:rPr>
          <w:rFonts w:hint="eastAsia" w:ascii="华文中宋" w:hAnsi="华文中宋" w:eastAsia="华文中宋"/>
          <w:b/>
          <w:bCs/>
          <w:sz w:val="36"/>
          <w:szCs w:val="36"/>
        </w:rPr>
        <w:t>辽宁交投艾特斯技术股份有限公司</w:t>
      </w:r>
    </w:p>
    <w:p>
      <w:pPr>
        <w:adjustRightInd w:val="0"/>
        <w:snapToGrid w:val="0"/>
        <w:spacing w:line="440" w:lineRule="exact"/>
        <w:ind w:firstLine="0" w:firstLineChars="0"/>
        <w:jc w:val="center"/>
        <w:rPr>
          <w:rFonts w:ascii="华文中宋" w:hAnsi="华文中宋" w:eastAsia="华文中宋"/>
          <w:b/>
          <w:bCs/>
          <w:sz w:val="36"/>
          <w:szCs w:val="36"/>
        </w:rPr>
      </w:pPr>
      <w:r>
        <w:rPr>
          <w:rFonts w:hint="eastAsia" w:ascii="华文中宋" w:hAnsi="华文中宋" w:eastAsia="华文中宋"/>
          <w:b/>
          <w:bCs/>
          <w:sz w:val="36"/>
          <w:szCs w:val="36"/>
        </w:rPr>
        <w:t>子企业市场化选聘职业经理人报名表</w:t>
      </w:r>
    </w:p>
    <w:p>
      <w:pPr>
        <w:spacing w:line="320" w:lineRule="exact"/>
        <w:ind w:left="-57" w:right="-57" w:firstLine="0" w:firstLineChars="0"/>
        <w:jc w:val="center"/>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本表是资格审核和测评评估的重要依据，请如实、准确、完整、清晰填写）</w:t>
      </w:r>
    </w:p>
    <w:p>
      <w:pPr>
        <w:spacing w:line="320" w:lineRule="exact"/>
        <w:ind w:left="-57" w:right="-57" w:firstLine="0" w:firstLineChars="0"/>
        <w:jc w:val="center"/>
        <w:rPr>
          <w:rFonts w:ascii="宋体" w:hAnsi="宋体" w:eastAsia="宋体"/>
          <w:sz w:val="21"/>
          <w:szCs w:val="21"/>
        </w:rPr>
      </w:pPr>
    </w:p>
    <w:p>
      <w:pPr>
        <w:spacing w:line="360" w:lineRule="exact"/>
        <w:ind w:left="-57" w:right="-57" w:firstLine="0" w:firstLineChars="0"/>
        <w:jc w:val="left"/>
        <w:rPr>
          <w:rFonts w:ascii="Cambria" w:hAnsi="Cambria" w:eastAsia="黑体"/>
          <w:sz w:val="24"/>
        </w:rPr>
      </w:pPr>
      <w:r>
        <w:rPr>
          <w:rFonts w:hint="eastAsia" w:ascii="Cambria" w:hAnsi="Cambria" w:eastAsia="黑体"/>
          <w:sz w:val="24"/>
        </w:rPr>
        <w:t>1.应聘总经理级岗位：</w:t>
      </w:r>
      <w:r>
        <w:rPr>
          <w:rFonts w:hint="eastAsia" w:ascii="宋体" w:hAnsi="宋体" w:eastAsia="宋体"/>
          <w:color w:val="0000FF"/>
          <w:sz w:val="21"/>
          <w:szCs w:val="21"/>
        </w:rPr>
        <w:t>XX公司XX岗位（需严格按照岗位名称填写）</w:t>
      </w:r>
    </w:p>
    <w:p>
      <w:pPr>
        <w:spacing w:line="360" w:lineRule="exact"/>
        <w:ind w:left="-57" w:right="-57" w:firstLine="0" w:firstLineChars="0"/>
        <w:jc w:val="left"/>
        <w:rPr>
          <w:rFonts w:ascii="Cambria" w:hAnsi="Cambria" w:eastAsia="黑体"/>
          <w:sz w:val="24"/>
        </w:rPr>
      </w:pPr>
      <w:r>
        <w:rPr>
          <w:rFonts w:hint="eastAsia" w:ascii="Cambria" w:hAnsi="Cambria" w:eastAsia="黑体"/>
          <w:sz w:val="24"/>
        </w:rPr>
        <w:t>2.应聘副总经理级岗位：</w:t>
      </w:r>
      <w:r>
        <w:rPr>
          <w:rFonts w:ascii="Cambria" w:hAnsi="Cambria" w:eastAsia="黑体"/>
          <w:sz w:val="24"/>
        </w:rPr>
        <w:t xml:space="preserve">  </w:t>
      </w:r>
    </w:p>
    <w:tbl>
      <w:tblPr>
        <w:tblStyle w:val="22"/>
        <w:tblW w:w="95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803"/>
        <w:gridCol w:w="722"/>
        <w:gridCol w:w="348"/>
        <w:gridCol w:w="31"/>
        <w:gridCol w:w="894"/>
        <w:gridCol w:w="1278"/>
        <w:gridCol w:w="1134"/>
        <w:gridCol w:w="709"/>
        <w:gridCol w:w="26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06" w:type="dxa"/>
            <w:tcBorders>
              <w:top w:val="single" w:color="auto" w:sz="12" w:space="0"/>
              <w:left w:val="single" w:color="auto" w:sz="12" w:space="0"/>
            </w:tcBorders>
            <w:vAlign w:val="center"/>
          </w:tcPr>
          <w:p>
            <w:pPr>
              <w:ind w:left="-57" w:right="-57" w:firstLine="0" w:firstLineChars="0"/>
              <w:jc w:val="center"/>
              <w:rPr>
                <w:rFonts w:ascii="宋体" w:hAnsi="宋体" w:eastAsia="宋体"/>
                <w:sz w:val="21"/>
                <w:szCs w:val="21"/>
              </w:rPr>
            </w:pPr>
            <w:r>
              <w:rPr>
                <w:rFonts w:hint="eastAsia" w:ascii="宋体" w:hAnsi="宋体" w:eastAsia="宋体"/>
                <w:sz w:val="21"/>
                <w:szCs w:val="21"/>
              </w:rPr>
              <w:t>姓   名</w:t>
            </w:r>
          </w:p>
        </w:tc>
        <w:tc>
          <w:tcPr>
            <w:tcW w:w="1873" w:type="dxa"/>
            <w:gridSpan w:val="3"/>
            <w:tcBorders>
              <w:top w:val="single" w:color="auto" w:sz="12" w:space="0"/>
            </w:tcBorders>
            <w:vAlign w:val="center"/>
          </w:tcPr>
          <w:p>
            <w:pPr>
              <w:ind w:left="-57" w:right="-57" w:firstLine="0" w:firstLineChars="0"/>
              <w:jc w:val="center"/>
              <w:rPr>
                <w:rFonts w:ascii="宋体" w:hAnsi="宋体" w:eastAsia="宋体"/>
                <w:bCs/>
                <w:sz w:val="21"/>
                <w:szCs w:val="21"/>
              </w:rPr>
            </w:pPr>
          </w:p>
        </w:tc>
        <w:tc>
          <w:tcPr>
            <w:tcW w:w="2203" w:type="dxa"/>
            <w:gridSpan w:val="3"/>
            <w:tcBorders>
              <w:top w:val="single" w:color="auto" w:sz="12" w:space="0"/>
            </w:tcBorders>
            <w:vAlign w:val="center"/>
          </w:tcPr>
          <w:p>
            <w:pPr>
              <w:ind w:left="-57" w:right="-57" w:firstLine="0" w:firstLineChars="0"/>
              <w:jc w:val="center"/>
              <w:rPr>
                <w:rFonts w:ascii="宋体" w:hAnsi="宋体" w:eastAsia="宋体"/>
                <w:sz w:val="21"/>
                <w:szCs w:val="21"/>
              </w:rPr>
            </w:pPr>
            <w:r>
              <w:rPr>
                <w:rFonts w:hint="eastAsia" w:ascii="宋体" w:hAnsi="宋体" w:eastAsia="宋体"/>
                <w:sz w:val="21"/>
                <w:szCs w:val="21"/>
              </w:rPr>
              <w:t>性   别</w:t>
            </w:r>
          </w:p>
        </w:tc>
        <w:tc>
          <w:tcPr>
            <w:tcW w:w="2107" w:type="dxa"/>
            <w:gridSpan w:val="3"/>
            <w:tcBorders>
              <w:top w:val="single" w:color="auto" w:sz="12" w:space="0"/>
            </w:tcBorders>
            <w:vAlign w:val="center"/>
          </w:tcPr>
          <w:p>
            <w:pPr>
              <w:ind w:left="-57" w:right="-57" w:firstLine="0" w:firstLineChars="0"/>
              <w:jc w:val="center"/>
              <w:rPr>
                <w:rFonts w:ascii="宋体" w:hAnsi="宋体" w:eastAsia="宋体"/>
                <w:bCs/>
                <w:sz w:val="21"/>
                <w:szCs w:val="21"/>
              </w:rPr>
            </w:pPr>
          </w:p>
        </w:tc>
        <w:tc>
          <w:tcPr>
            <w:tcW w:w="1985" w:type="dxa"/>
            <w:vMerge w:val="restart"/>
            <w:tcBorders>
              <w:top w:val="single" w:color="auto" w:sz="12" w:space="0"/>
              <w:right w:val="single" w:color="auto" w:sz="12" w:space="0"/>
            </w:tcBorders>
            <w:vAlign w:val="center"/>
          </w:tcPr>
          <w:p>
            <w:pPr>
              <w:ind w:left="-57" w:right="-57" w:firstLine="0" w:firstLineChars="0"/>
              <w:jc w:val="center"/>
              <w:rPr>
                <w:rFonts w:ascii="宋体" w:hAnsi="宋体" w:eastAsia="宋体"/>
                <w:b/>
                <w:bCs/>
                <w:sz w:val="21"/>
                <w:szCs w:val="21"/>
              </w:rPr>
            </w:pPr>
            <w:r>
              <w:rPr>
                <w:rFonts w:hint="eastAsia" w:ascii="宋体" w:hAnsi="宋体" w:eastAsia="宋体"/>
                <w:b/>
                <w:bCs/>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06" w:type="dxa"/>
            <w:tcBorders>
              <w:left w:val="single" w:color="auto" w:sz="12" w:space="0"/>
            </w:tcBorders>
            <w:vAlign w:val="center"/>
          </w:tcPr>
          <w:p>
            <w:pPr>
              <w:spacing w:line="300" w:lineRule="exact"/>
              <w:ind w:left="-57" w:right="-57" w:firstLine="0" w:firstLineChars="0"/>
              <w:jc w:val="center"/>
              <w:rPr>
                <w:rFonts w:ascii="宋体" w:hAnsi="宋体" w:eastAsia="宋体"/>
                <w:sz w:val="21"/>
                <w:szCs w:val="21"/>
              </w:rPr>
            </w:pPr>
            <w:r>
              <w:rPr>
                <w:rFonts w:hint="eastAsia" w:ascii="宋体" w:hAnsi="宋体" w:eastAsia="宋体"/>
                <w:sz w:val="21"/>
                <w:szCs w:val="21"/>
              </w:rPr>
              <w:t>出生日期</w:t>
            </w:r>
          </w:p>
        </w:tc>
        <w:tc>
          <w:tcPr>
            <w:tcW w:w="1873" w:type="dxa"/>
            <w:gridSpan w:val="3"/>
            <w:vAlign w:val="center"/>
          </w:tcPr>
          <w:p>
            <w:pPr>
              <w:ind w:left="-57" w:right="-57" w:firstLine="0" w:firstLineChars="0"/>
              <w:jc w:val="center"/>
              <w:rPr>
                <w:rFonts w:ascii="宋体" w:hAnsi="宋体" w:eastAsia="宋体"/>
                <w:sz w:val="21"/>
                <w:szCs w:val="21"/>
              </w:rPr>
            </w:pPr>
            <w:r>
              <w:rPr>
                <w:rFonts w:hint="eastAsia" w:ascii="宋体" w:hAnsi="宋体" w:eastAsia="宋体"/>
                <w:color w:val="0000FF"/>
                <w:sz w:val="21"/>
                <w:szCs w:val="21"/>
              </w:rPr>
              <w:t>精确到日</w:t>
            </w:r>
          </w:p>
        </w:tc>
        <w:tc>
          <w:tcPr>
            <w:tcW w:w="2203" w:type="dxa"/>
            <w:gridSpan w:val="3"/>
            <w:vAlign w:val="center"/>
          </w:tcPr>
          <w:p>
            <w:pPr>
              <w:ind w:left="-57" w:right="-57" w:firstLine="0" w:firstLineChars="0"/>
              <w:jc w:val="center"/>
              <w:rPr>
                <w:rFonts w:ascii="宋体" w:hAnsi="宋体" w:eastAsia="宋体"/>
                <w:sz w:val="21"/>
                <w:szCs w:val="21"/>
              </w:rPr>
            </w:pPr>
            <w:r>
              <w:rPr>
                <w:rFonts w:hint="eastAsia" w:ascii="宋体" w:hAnsi="宋体" w:eastAsia="宋体"/>
                <w:sz w:val="21"/>
                <w:szCs w:val="21"/>
              </w:rPr>
              <w:t>籍   贯</w:t>
            </w:r>
          </w:p>
        </w:tc>
        <w:tc>
          <w:tcPr>
            <w:tcW w:w="2107" w:type="dxa"/>
            <w:gridSpan w:val="3"/>
            <w:vAlign w:val="center"/>
          </w:tcPr>
          <w:p>
            <w:pPr>
              <w:ind w:left="-57" w:right="-57" w:firstLine="0" w:firstLineChars="0"/>
              <w:jc w:val="center"/>
              <w:rPr>
                <w:rFonts w:ascii="宋体" w:hAnsi="宋体" w:eastAsia="宋体"/>
                <w:bCs/>
                <w:sz w:val="21"/>
                <w:szCs w:val="21"/>
              </w:rPr>
            </w:pPr>
          </w:p>
        </w:tc>
        <w:tc>
          <w:tcPr>
            <w:tcW w:w="1985" w:type="dxa"/>
            <w:vMerge w:val="continue"/>
            <w:tcBorders>
              <w:right w:val="single" w:color="auto" w:sz="12" w:space="0"/>
            </w:tcBorders>
            <w:vAlign w:val="center"/>
          </w:tcPr>
          <w:p>
            <w:pPr>
              <w:ind w:left="-57" w:right="-57" w:firstLine="0" w:firstLineChars="0"/>
              <w:jc w:val="center"/>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06" w:type="dxa"/>
            <w:tcBorders>
              <w:left w:val="single" w:color="auto" w:sz="12" w:space="0"/>
            </w:tcBorders>
            <w:vAlign w:val="center"/>
          </w:tcPr>
          <w:p>
            <w:pPr>
              <w:spacing w:line="300" w:lineRule="exact"/>
              <w:ind w:left="-57" w:right="-57" w:firstLine="0" w:firstLineChars="0"/>
              <w:jc w:val="center"/>
              <w:rPr>
                <w:rFonts w:ascii="宋体" w:hAnsi="宋体" w:eastAsia="宋体"/>
                <w:sz w:val="21"/>
                <w:szCs w:val="21"/>
              </w:rPr>
            </w:pPr>
            <w:r>
              <w:rPr>
                <w:rFonts w:hint="eastAsia" w:ascii="宋体" w:hAnsi="宋体" w:eastAsia="宋体"/>
                <w:sz w:val="21"/>
                <w:szCs w:val="21"/>
              </w:rPr>
              <w:t>民    族</w:t>
            </w:r>
          </w:p>
        </w:tc>
        <w:tc>
          <w:tcPr>
            <w:tcW w:w="1873" w:type="dxa"/>
            <w:gridSpan w:val="3"/>
            <w:vAlign w:val="center"/>
          </w:tcPr>
          <w:p>
            <w:pPr>
              <w:ind w:left="-57" w:right="-57" w:firstLine="0" w:firstLineChars="0"/>
              <w:jc w:val="center"/>
              <w:rPr>
                <w:rFonts w:ascii="宋体" w:hAnsi="宋体" w:eastAsia="宋体"/>
                <w:sz w:val="21"/>
                <w:szCs w:val="21"/>
              </w:rPr>
            </w:pPr>
          </w:p>
        </w:tc>
        <w:tc>
          <w:tcPr>
            <w:tcW w:w="2203" w:type="dxa"/>
            <w:gridSpan w:val="3"/>
            <w:vAlign w:val="center"/>
          </w:tcPr>
          <w:p>
            <w:pPr>
              <w:spacing w:line="300" w:lineRule="exact"/>
              <w:ind w:left="-57" w:right="-57" w:firstLine="0" w:firstLineChars="0"/>
              <w:jc w:val="center"/>
              <w:rPr>
                <w:rFonts w:ascii="宋体" w:hAnsi="宋体" w:eastAsia="宋体"/>
                <w:sz w:val="21"/>
                <w:szCs w:val="21"/>
              </w:rPr>
            </w:pPr>
            <w:r>
              <w:rPr>
                <w:rFonts w:hint="eastAsia" w:ascii="宋体" w:hAnsi="宋体" w:eastAsia="宋体"/>
                <w:sz w:val="21"/>
                <w:szCs w:val="21"/>
              </w:rPr>
              <w:t>参加工作时间</w:t>
            </w:r>
          </w:p>
        </w:tc>
        <w:tc>
          <w:tcPr>
            <w:tcW w:w="2107" w:type="dxa"/>
            <w:gridSpan w:val="3"/>
            <w:vAlign w:val="center"/>
          </w:tcPr>
          <w:p>
            <w:pPr>
              <w:ind w:left="-57" w:right="-57" w:firstLine="0" w:firstLineChars="0"/>
              <w:jc w:val="center"/>
              <w:rPr>
                <w:rFonts w:ascii="宋体" w:hAnsi="宋体" w:eastAsia="宋体"/>
                <w:bCs/>
                <w:sz w:val="21"/>
                <w:szCs w:val="21"/>
              </w:rPr>
            </w:pPr>
          </w:p>
        </w:tc>
        <w:tc>
          <w:tcPr>
            <w:tcW w:w="1985" w:type="dxa"/>
            <w:vMerge w:val="continue"/>
            <w:tcBorders>
              <w:right w:val="single" w:color="auto" w:sz="12" w:space="0"/>
            </w:tcBorders>
            <w:vAlign w:val="center"/>
          </w:tcPr>
          <w:p>
            <w:pPr>
              <w:ind w:left="-57" w:right="-57" w:firstLine="0" w:firstLineChars="0"/>
              <w:jc w:val="center"/>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06" w:type="dxa"/>
            <w:tcBorders>
              <w:left w:val="single" w:color="auto" w:sz="12" w:space="0"/>
            </w:tcBorders>
            <w:vAlign w:val="center"/>
          </w:tcPr>
          <w:p>
            <w:pPr>
              <w:spacing w:line="300" w:lineRule="exact"/>
              <w:ind w:left="-57" w:right="-57" w:firstLine="0" w:firstLineChars="0"/>
              <w:jc w:val="center"/>
              <w:rPr>
                <w:rFonts w:ascii="宋体" w:hAnsi="宋体" w:eastAsia="宋体"/>
                <w:sz w:val="21"/>
                <w:szCs w:val="21"/>
              </w:rPr>
            </w:pPr>
            <w:r>
              <w:rPr>
                <w:rFonts w:hint="eastAsia" w:ascii="宋体" w:hAnsi="宋体" w:eastAsia="宋体"/>
                <w:sz w:val="21"/>
                <w:szCs w:val="21"/>
              </w:rPr>
              <w:t>政治面貌</w:t>
            </w:r>
          </w:p>
        </w:tc>
        <w:tc>
          <w:tcPr>
            <w:tcW w:w="1873" w:type="dxa"/>
            <w:gridSpan w:val="3"/>
            <w:vAlign w:val="center"/>
          </w:tcPr>
          <w:p>
            <w:pPr>
              <w:ind w:left="-57" w:right="-57" w:firstLine="0" w:firstLineChars="0"/>
              <w:jc w:val="center"/>
              <w:rPr>
                <w:rFonts w:ascii="宋体" w:hAnsi="宋体" w:eastAsia="宋体"/>
                <w:sz w:val="21"/>
                <w:szCs w:val="21"/>
              </w:rPr>
            </w:pPr>
          </w:p>
        </w:tc>
        <w:tc>
          <w:tcPr>
            <w:tcW w:w="2203" w:type="dxa"/>
            <w:gridSpan w:val="3"/>
            <w:vAlign w:val="center"/>
          </w:tcPr>
          <w:p>
            <w:pPr>
              <w:spacing w:line="280" w:lineRule="exact"/>
              <w:ind w:left="-57" w:right="-57" w:firstLine="0" w:firstLineChars="0"/>
              <w:jc w:val="center"/>
              <w:rPr>
                <w:rFonts w:ascii="宋体" w:hAnsi="宋体" w:eastAsia="宋体"/>
                <w:sz w:val="21"/>
                <w:szCs w:val="21"/>
              </w:rPr>
            </w:pPr>
            <w:r>
              <w:rPr>
                <w:rFonts w:hint="eastAsia" w:ascii="宋体" w:hAnsi="宋体" w:eastAsia="宋体"/>
                <w:sz w:val="21"/>
                <w:szCs w:val="21"/>
              </w:rPr>
              <w:t>身份证号码</w:t>
            </w:r>
          </w:p>
        </w:tc>
        <w:tc>
          <w:tcPr>
            <w:tcW w:w="2107" w:type="dxa"/>
            <w:gridSpan w:val="3"/>
            <w:vAlign w:val="center"/>
          </w:tcPr>
          <w:p>
            <w:pPr>
              <w:ind w:left="-57" w:right="-57" w:firstLine="0" w:firstLineChars="0"/>
              <w:jc w:val="center"/>
              <w:rPr>
                <w:rFonts w:ascii="宋体" w:hAnsi="宋体" w:eastAsia="宋体"/>
                <w:bCs/>
                <w:sz w:val="21"/>
                <w:szCs w:val="21"/>
              </w:rPr>
            </w:pPr>
          </w:p>
        </w:tc>
        <w:tc>
          <w:tcPr>
            <w:tcW w:w="1985" w:type="dxa"/>
            <w:vMerge w:val="continue"/>
            <w:tcBorders>
              <w:right w:val="single" w:color="auto" w:sz="12" w:space="0"/>
            </w:tcBorders>
            <w:vAlign w:val="center"/>
          </w:tcPr>
          <w:p>
            <w:pPr>
              <w:ind w:left="-57" w:right="-57" w:firstLine="0" w:firstLineChars="0"/>
              <w:jc w:val="center"/>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06" w:type="dxa"/>
            <w:tcBorders>
              <w:left w:val="single" w:color="auto" w:sz="12" w:space="0"/>
            </w:tcBorders>
            <w:vAlign w:val="center"/>
          </w:tcPr>
          <w:p>
            <w:pPr>
              <w:spacing w:line="300" w:lineRule="exact"/>
              <w:ind w:left="-57" w:right="-57" w:firstLine="0" w:firstLineChars="0"/>
              <w:jc w:val="center"/>
              <w:rPr>
                <w:rFonts w:ascii="宋体" w:hAnsi="宋体" w:eastAsia="宋体"/>
                <w:sz w:val="21"/>
                <w:szCs w:val="21"/>
              </w:rPr>
            </w:pPr>
            <w:r>
              <w:rPr>
                <w:rFonts w:hint="eastAsia" w:ascii="宋体" w:hAnsi="宋体" w:eastAsia="宋体"/>
                <w:sz w:val="21"/>
                <w:szCs w:val="21"/>
              </w:rPr>
              <w:t>手机号码</w:t>
            </w:r>
          </w:p>
        </w:tc>
        <w:tc>
          <w:tcPr>
            <w:tcW w:w="2798" w:type="dxa"/>
            <w:gridSpan w:val="5"/>
            <w:vAlign w:val="center"/>
          </w:tcPr>
          <w:p>
            <w:pPr>
              <w:ind w:left="-57" w:right="-57" w:firstLine="0" w:firstLineChars="0"/>
              <w:jc w:val="center"/>
              <w:rPr>
                <w:rFonts w:ascii="宋体" w:hAnsi="宋体" w:eastAsia="宋体"/>
                <w:bCs/>
                <w:sz w:val="21"/>
                <w:szCs w:val="21"/>
              </w:rPr>
            </w:pPr>
          </w:p>
        </w:tc>
        <w:tc>
          <w:tcPr>
            <w:tcW w:w="1278" w:type="dxa"/>
            <w:vAlign w:val="center"/>
          </w:tcPr>
          <w:p>
            <w:pPr>
              <w:ind w:left="-57" w:right="-57" w:firstLine="0" w:firstLineChars="0"/>
              <w:jc w:val="center"/>
              <w:rPr>
                <w:rFonts w:ascii="宋体" w:hAnsi="宋体" w:eastAsia="宋体"/>
                <w:bCs/>
                <w:sz w:val="21"/>
                <w:szCs w:val="21"/>
              </w:rPr>
            </w:pPr>
            <w:r>
              <w:rPr>
                <w:rFonts w:hint="eastAsia" w:ascii="宋体" w:hAnsi="宋体" w:eastAsia="宋体"/>
                <w:sz w:val="21"/>
                <w:szCs w:val="21"/>
              </w:rPr>
              <w:t>电子</w:t>
            </w:r>
            <w:r>
              <w:rPr>
                <w:rFonts w:ascii="宋体" w:hAnsi="宋体" w:eastAsia="宋体"/>
                <w:sz w:val="21"/>
                <w:szCs w:val="21"/>
              </w:rPr>
              <w:t>邮箱</w:t>
            </w:r>
          </w:p>
        </w:tc>
        <w:tc>
          <w:tcPr>
            <w:tcW w:w="4092" w:type="dxa"/>
            <w:gridSpan w:val="4"/>
            <w:tcBorders>
              <w:right w:val="single" w:color="auto" w:sz="12" w:space="0"/>
            </w:tcBorders>
            <w:vAlign w:val="center"/>
          </w:tcPr>
          <w:p>
            <w:pPr>
              <w:ind w:left="-57" w:right="-57" w:firstLine="0" w:firstLineChars="0"/>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restart"/>
            <w:tcBorders>
              <w:left w:val="single" w:color="auto" w:sz="12" w:space="0"/>
            </w:tcBorders>
            <w:vAlign w:val="center"/>
          </w:tcPr>
          <w:p>
            <w:pPr>
              <w:spacing w:line="300" w:lineRule="exact"/>
              <w:ind w:left="-57" w:right="-57" w:firstLine="0" w:firstLineChars="0"/>
              <w:jc w:val="center"/>
              <w:rPr>
                <w:rFonts w:ascii="宋体" w:hAnsi="宋体" w:eastAsia="宋体"/>
                <w:sz w:val="21"/>
                <w:szCs w:val="21"/>
              </w:rPr>
            </w:pPr>
            <w:r>
              <w:rPr>
                <w:rFonts w:hint="eastAsia" w:ascii="宋体" w:hAnsi="宋体" w:eastAsia="宋体"/>
                <w:sz w:val="21"/>
                <w:szCs w:val="21"/>
              </w:rPr>
              <w:t>学历</w:t>
            </w:r>
          </w:p>
          <w:p>
            <w:pPr>
              <w:spacing w:line="300" w:lineRule="exact"/>
              <w:ind w:left="-57" w:right="-57" w:firstLine="0" w:firstLineChars="0"/>
              <w:jc w:val="center"/>
              <w:rPr>
                <w:rFonts w:ascii="宋体" w:hAnsi="宋体" w:eastAsia="宋体"/>
                <w:sz w:val="21"/>
                <w:szCs w:val="21"/>
              </w:rPr>
            </w:pPr>
            <w:r>
              <w:rPr>
                <w:rFonts w:hint="eastAsia" w:ascii="宋体" w:hAnsi="宋体" w:eastAsia="宋体"/>
                <w:sz w:val="21"/>
                <w:szCs w:val="21"/>
              </w:rPr>
              <w:t>学位</w:t>
            </w:r>
          </w:p>
        </w:tc>
        <w:tc>
          <w:tcPr>
            <w:tcW w:w="1525" w:type="dxa"/>
            <w:gridSpan w:val="2"/>
            <w:vAlign w:val="center"/>
          </w:tcPr>
          <w:p>
            <w:pPr>
              <w:spacing w:line="300" w:lineRule="exact"/>
              <w:ind w:left="-57" w:right="-57" w:firstLine="0" w:firstLineChars="0"/>
              <w:jc w:val="center"/>
              <w:rPr>
                <w:rFonts w:ascii="宋体" w:hAnsi="宋体" w:eastAsia="宋体"/>
                <w:sz w:val="21"/>
                <w:szCs w:val="21"/>
              </w:rPr>
            </w:pPr>
            <w:r>
              <w:rPr>
                <w:rFonts w:hint="eastAsia" w:ascii="宋体" w:hAnsi="宋体" w:eastAsia="宋体"/>
                <w:sz w:val="21"/>
                <w:szCs w:val="21"/>
              </w:rPr>
              <w:t>全日制教育</w:t>
            </w:r>
          </w:p>
          <w:p>
            <w:pPr>
              <w:spacing w:line="300" w:lineRule="exact"/>
              <w:ind w:left="-57" w:right="-57" w:firstLine="0" w:firstLineChars="0"/>
              <w:jc w:val="center"/>
              <w:rPr>
                <w:rFonts w:ascii="宋体" w:hAnsi="宋体" w:eastAsia="宋体"/>
                <w:sz w:val="15"/>
                <w:szCs w:val="15"/>
              </w:rPr>
            </w:pPr>
            <w:r>
              <w:rPr>
                <w:rFonts w:hint="eastAsia" w:ascii="宋体" w:hAnsi="宋体" w:eastAsia="宋体"/>
                <w:sz w:val="15"/>
                <w:szCs w:val="15"/>
              </w:rPr>
              <w:t>（第一学历、学位）</w:t>
            </w:r>
          </w:p>
        </w:tc>
        <w:tc>
          <w:tcPr>
            <w:tcW w:w="1273" w:type="dxa"/>
            <w:gridSpan w:val="3"/>
            <w:vAlign w:val="center"/>
          </w:tcPr>
          <w:p>
            <w:pPr>
              <w:ind w:left="-57" w:right="-57" w:firstLine="0" w:firstLineChars="0"/>
              <w:jc w:val="center"/>
              <w:rPr>
                <w:rFonts w:ascii="宋体" w:hAnsi="宋体" w:eastAsia="宋体"/>
                <w:sz w:val="21"/>
                <w:szCs w:val="21"/>
              </w:rPr>
            </w:pPr>
          </w:p>
        </w:tc>
        <w:tc>
          <w:tcPr>
            <w:tcW w:w="1278" w:type="dxa"/>
            <w:vMerge w:val="restart"/>
            <w:tcBorders>
              <w:right w:val="single" w:color="auto" w:sz="4" w:space="0"/>
            </w:tcBorders>
            <w:vAlign w:val="center"/>
          </w:tcPr>
          <w:p>
            <w:pPr>
              <w:spacing w:line="280" w:lineRule="exact"/>
              <w:ind w:left="-57" w:right="-57" w:firstLine="0" w:firstLineChars="0"/>
              <w:jc w:val="center"/>
              <w:rPr>
                <w:rFonts w:ascii="宋体" w:hAnsi="宋体" w:eastAsia="宋体"/>
                <w:sz w:val="20"/>
                <w:szCs w:val="20"/>
              </w:rPr>
            </w:pPr>
            <w:r>
              <w:rPr>
                <w:rFonts w:hint="eastAsia" w:ascii="宋体" w:hAnsi="宋体" w:eastAsia="宋体"/>
                <w:sz w:val="20"/>
                <w:szCs w:val="20"/>
              </w:rPr>
              <w:t>毕业时间、院校及专业</w:t>
            </w:r>
          </w:p>
        </w:tc>
        <w:tc>
          <w:tcPr>
            <w:tcW w:w="4092" w:type="dxa"/>
            <w:gridSpan w:val="4"/>
            <w:tcBorders>
              <w:left w:val="single" w:color="auto" w:sz="4" w:space="0"/>
              <w:right w:val="single" w:color="auto" w:sz="12" w:space="0"/>
            </w:tcBorders>
            <w:vAlign w:val="center"/>
          </w:tcPr>
          <w:p>
            <w:pPr>
              <w:ind w:left="-57" w:right="-57" w:firstLine="0" w:firstLineChars="0"/>
              <w:jc w:val="center"/>
              <w:rPr>
                <w:rFonts w:ascii="宋体" w:hAnsi="宋体" w:eastAsia="宋体"/>
                <w:color w:val="0000FF"/>
                <w:sz w:val="21"/>
                <w:szCs w:val="21"/>
              </w:rPr>
            </w:pPr>
            <w:r>
              <w:rPr>
                <w:rFonts w:hint="eastAsia" w:ascii="宋体" w:hAnsi="宋体" w:eastAsia="宋体"/>
                <w:color w:val="0000FF"/>
                <w:sz w:val="21"/>
                <w:szCs w:val="21"/>
              </w:rPr>
              <w:t>示例：2015年6月  XX大学  计算机专业</w:t>
            </w:r>
          </w:p>
          <w:p>
            <w:pPr>
              <w:ind w:left="-57" w:right="-57" w:firstLine="0" w:firstLineChars="0"/>
              <w:jc w:val="center"/>
              <w:rPr>
                <w:rFonts w:ascii="宋体" w:hAnsi="宋体" w:eastAsia="宋体"/>
                <w:b/>
                <w:bCs/>
                <w:sz w:val="21"/>
                <w:szCs w:val="21"/>
              </w:rPr>
            </w:pPr>
            <w:r>
              <w:rPr>
                <w:rFonts w:hint="eastAsia" w:ascii="宋体" w:hAnsi="宋体" w:eastAsia="宋体"/>
                <w:color w:val="0000FF"/>
                <w:sz w:val="21"/>
                <w:szCs w:val="21"/>
              </w:rPr>
              <w:t>需严格按毕业证书所记载填写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vMerge w:val="continue"/>
            <w:tcBorders>
              <w:left w:val="single" w:color="auto" w:sz="12" w:space="0"/>
            </w:tcBorders>
            <w:vAlign w:val="center"/>
          </w:tcPr>
          <w:p>
            <w:pPr>
              <w:spacing w:line="300" w:lineRule="exact"/>
              <w:ind w:left="-57" w:right="-57" w:firstLine="0" w:firstLineChars="0"/>
              <w:jc w:val="center"/>
              <w:rPr>
                <w:rFonts w:ascii="宋体" w:hAnsi="宋体" w:eastAsia="宋体"/>
                <w:sz w:val="21"/>
                <w:szCs w:val="21"/>
              </w:rPr>
            </w:pPr>
          </w:p>
        </w:tc>
        <w:tc>
          <w:tcPr>
            <w:tcW w:w="1525" w:type="dxa"/>
            <w:gridSpan w:val="2"/>
            <w:vAlign w:val="center"/>
          </w:tcPr>
          <w:p>
            <w:pPr>
              <w:spacing w:line="300" w:lineRule="exact"/>
              <w:ind w:left="-57" w:right="-57" w:firstLine="0" w:firstLineChars="0"/>
              <w:jc w:val="center"/>
              <w:rPr>
                <w:rFonts w:ascii="宋体" w:hAnsi="宋体" w:eastAsia="宋体"/>
                <w:sz w:val="21"/>
                <w:szCs w:val="21"/>
              </w:rPr>
            </w:pPr>
            <w:r>
              <w:rPr>
                <w:rFonts w:hint="eastAsia" w:ascii="宋体" w:hAnsi="宋体" w:eastAsia="宋体"/>
                <w:sz w:val="21"/>
                <w:szCs w:val="21"/>
              </w:rPr>
              <w:t>全日制教育</w:t>
            </w:r>
          </w:p>
          <w:p>
            <w:pPr>
              <w:spacing w:line="300" w:lineRule="exact"/>
              <w:ind w:left="-57" w:right="-57" w:firstLine="0" w:firstLineChars="0"/>
              <w:jc w:val="center"/>
              <w:rPr>
                <w:rFonts w:ascii="宋体" w:hAnsi="宋体" w:eastAsia="宋体"/>
                <w:sz w:val="15"/>
                <w:szCs w:val="15"/>
              </w:rPr>
            </w:pPr>
            <w:r>
              <w:rPr>
                <w:rFonts w:hint="eastAsia" w:ascii="宋体" w:hAnsi="宋体" w:eastAsia="宋体"/>
                <w:sz w:val="15"/>
                <w:szCs w:val="15"/>
              </w:rPr>
              <w:t>（最高学历、学位）</w:t>
            </w:r>
          </w:p>
        </w:tc>
        <w:tc>
          <w:tcPr>
            <w:tcW w:w="1273" w:type="dxa"/>
            <w:gridSpan w:val="3"/>
            <w:vAlign w:val="center"/>
          </w:tcPr>
          <w:p>
            <w:pPr>
              <w:spacing w:line="280" w:lineRule="exact"/>
              <w:ind w:left="-57" w:right="-57" w:firstLine="0" w:firstLineChars="0"/>
              <w:jc w:val="center"/>
              <w:rPr>
                <w:rFonts w:ascii="宋体" w:hAnsi="宋体" w:eastAsia="宋体"/>
                <w:sz w:val="21"/>
                <w:szCs w:val="21"/>
              </w:rPr>
            </w:pPr>
          </w:p>
        </w:tc>
        <w:tc>
          <w:tcPr>
            <w:tcW w:w="1278" w:type="dxa"/>
            <w:vMerge w:val="continue"/>
            <w:tcBorders>
              <w:right w:val="single" w:color="auto" w:sz="4" w:space="0"/>
            </w:tcBorders>
            <w:vAlign w:val="center"/>
          </w:tcPr>
          <w:p>
            <w:pPr>
              <w:spacing w:line="280" w:lineRule="exact"/>
              <w:ind w:left="-57" w:right="-57" w:firstLine="0" w:firstLineChars="0"/>
              <w:jc w:val="center"/>
              <w:rPr>
                <w:rFonts w:ascii="宋体" w:hAnsi="宋体" w:eastAsia="宋体"/>
                <w:sz w:val="21"/>
                <w:szCs w:val="21"/>
              </w:rPr>
            </w:pPr>
          </w:p>
        </w:tc>
        <w:tc>
          <w:tcPr>
            <w:tcW w:w="4092" w:type="dxa"/>
            <w:gridSpan w:val="4"/>
            <w:tcBorders>
              <w:left w:val="single" w:color="auto" w:sz="4" w:space="0"/>
              <w:right w:val="single" w:color="auto" w:sz="12" w:space="0"/>
            </w:tcBorders>
            <w:vAlign w:val="center"/>
          </w:tcPr>
          <w:p>
            <w:pPr>
              <w:ind w:left="-57" w:right="-57" w:firstLine="0" w:firstLineChars="0"/>
              <w:jc w:val="center"/>
              <w:rPr>
                <w:rFonts w:ascii="宋体" w:hAnsi="宋体"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continue"/>
            <w:tcBorders>
              <w:left w:val="single" w:color="auto" w:sz="12" w:space="0"/>
            </w:tcBorders>
            <w:vAlign w:val="center"/>
          </w:tcPr>
          <w:p>
            <w:pPr>
              <w:spacing w:line="300" w:lineRule="exact"/>
              <w:ind w:left="-57" w:right="-57" w:firstLine="0" w:firstLineChars="0"/>
              <w:jc w:val="center"/>
              <w:rPr>
                <w:rFonts w:ascii="宋体" w:hAnsi="宋体" w:eastAsia="宋体"/>
                <w:sz w:val="21"/>
                <w:szCs w:val="21"/>
              </w:rPr>
            </w:pPr>
          </w:p>
        </w:tc>
        <w:tc>
          <w:tcPr>
            <w:tcW w:w="1525" w:type="dxa"/>
            <w:gridSpan w:val="2"/>
            <w:tcBorders>
              <w:bottom w:val="single" w:color="auto" w:sz="4" w:space="0"/>
            </w:tcBorders>
            <w:vAlign w:val="center"/>
          </w:tcPr>
          <w:p>
            <w:pPr>
              <w:spacing w:line="300" w:lineRule="exact"/>
              <w:ind w:left="-57" w:right="-57" w:firstLine="0" w:firstLineChars="0"/>
              <w:jc w:val="center"/>
              <w:rPr>
                <w:rFonts w:ascii="宋体" w:hAnsi="宋体" w:eastAsia="宋体"/>
                <w:sz w:val="21"/>
                <w:szCs w:val="21"/>
              </w:rPr>
            </w:pPr>
            <w:r>
              <w:rPr>
                <w:rFonts w:hint="eastAsia" w:ascii="宋体" w:hAnsi="宋体" w:eastAsia="宋体"/>
                <w:sz w:val="21"/>
                <w:szCs w:val="21"/>
              </w:rPr>
              <w:t>在职教育</w:t>
            </w:r>
          </w:p>
          <w:p>
            <w:pPr>
              <w:spacing w:line="300" w:lineRule="exact"/>
              <w:ind w:left="-57" w:right="-57" w:firstLine="0" w:firstLineChars="0"/>
              <w:jc w:val="center"/>
              <w:rPr>
                <w:rFonts w:ascii="宋体" w:hAnsi="宋体" w:eastAsia="宋体"/>
                <w:sz w:val="15"/>
                <w:szCs w:val="15"/>
              </w:rPr>
            </w:pPr>
            <w:r>
              <w:rPr>
                <w:rFonts w:hint="eastAsia" w:ascii="宋体" w:hAnsi="宋体" w:eastAsia="宋体"/>
                <w:sz w:val="15"/>
                <w:szCs w:val="15"/>
              </w:rPr>
              <w:t>（最高学历、学位）</w:t>
            </w:r>
          </w:p>
        </w:tc>
        <w:tc>
          <w:tcPr>
            <w:tcW w:w="1273" w:type="dxa"/>
            <w:gridSpan w:val="3"/>
            <w:tcBorders>
              <w:bottom w:val="single" w:color="auto" w:sz="4" w:space="0"/>
            </w:tcBorders>
            <w:vAlign w:val="center"/>
          </w:tcPr>
          <w:p>
            <w:pPr>
              <w:ind w:left="-57" w:right="-57" w:firstLine="0" w:firstLineChars="0"/>
              <w:jc w:val="center"/>
              <w:rPr>
                <w:rFonts w:ascii="宋体" w:hAnsi="宋体" w:eastAsia="宋体"/>
                <w:sz w:val="21"/>
                <w:szCs w:val="21"/>
              </w:rPr>
            </w:pPr>
            <w:r>
              <w:rPr>
                <w:rFonts w:hint="eastAsia" w:ascii="宋体" w:hAnsi="宋体" w:eastAsia="宋体"/>
                <w:color w:val="0000FF"/>
                <w:sz w:val="21"/>
                <w:szCs w:val="21"/>
              </w:rPr>
              <w:t>无相关学历请填写：无</w:t>
            </w:r>
          </w:p>
        </w:tc>
        <w:tc>
          <w:tcPr>
            <w:tcW w:w="1278" w:type="dxa"/>
            <w:vMerge w:val="continue"/>
            <w:tcBorders>
              <w:bottom w:val="single" w:color="auto" w:sz="4" w:space="0"/>
              <w:right w:val="single" w:color="auto" w:sz="4" w:space="0"/>
            </w:tcBorders>
            <w:vAlign w:val="center"/>
          </w:tcPr>
          <w:p>
            <w:pPr>
              <w:spacing w:line="280" w:lineRule="exact"/>
              <w:ind w:left="-57" w:right="-57" w:firstLine="0" w:firstLineChars="0"/>
              <w:jc w:val="center"/>
              <w:rPr>
                <w:rFonts w:ascii="宋体" w:hAnsi="宋体" w:eastAsia="宋体"/>
                <w:sz w:val="21"/>
                <w:szCs w:val="21"/>
              </w:rPr>
            </w:pPr>
          </w:p>
        </w:tc>
        <w:tc>
          <w:tcPr>
            <w:tcW w:w="4092" w:type="dxa"/>
            <w:gridSpan w:val="4"/>
            <w:tcBorders>
              <w:left w:val="single" w:color="auto" w:sz="4" w:space="0"/>
              <w:bottom w:val="single" w:color="auto" w:sz="4" w:space="0"/>
              <w:right w:val="single" w:color="auto" w:sz="12" w:space="0"/>
            </w:tcBorders>
            <w:vAlign w:val="center"/>
          </w:tcPr>
          <w:p>
            <w:pPr>
              <w:ind w:left="-57" w:right="-57"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tcBorders>
              <w:left w:val="single" w:color="auto" w:sz="12" w:space="0"/>
            </w:tcBorders>
            <w:vAlign w:val="center"/>
          </w:tcPr>
          <w:p>
            <w:pPr>
              <w:spacing w:line="300" w:lineRule="exact"/>
              <w:ind w:left="-57" w:right="-57" w:firstLine="0" w:firstLineChars="0"/>
              <w:jc w:val="center"/>
              <w:rPr>
                <w:rFonts w:ascii="宋体" w:hAnsi="宋体" w:eastAsia="宋体"/>
                <w:sz w:val="21"/>
                <w:szCs w:val="21"/>
              </w:rPr>
            </w:pPr>
            <w:r>
              <w:rPr>
                <w:rFonts w:hint="eastAsia" w:ascii="宋体" w:hAnsi="宋体" w:eastAsia="宋体"/>
                <w:sz w:val="21"/>
                <w:szCs w:val="21"/>
              </w:rPr>
              <w:t>现工作单位</w:t>
            </w:r>
          </w:p>
          <w:p>
            <w:pPr>
              <w:spacing w:line="300" w:lineRule="exact"/>
              <w:ind w:left="-57" w:right="-57" w:firstLine="0" w:firstLineChars="0"/>
              <w:jc w:val="center"/>
              <w:rPr>
                <w:rFonts w:ascii="宋体" w:hAnsi="宋体" w:eastAsia="宋体"/>
                <w:sz w:val="21"/>
                <w:szCs w:val="21"/>
              </w:rPr>
            </w:pPr>
            <w:r>
              <w:rPr>
                <w:rFonts w:hint="eastAsia" w:ascii="宋体" w:hAnsi="宋体" w:eastAsia="宋体"/>
                <w:sz w:val="21"/>
                <w:szCs w:val="21"/>
              </w:rPr>
              <w:t>及职务</w:t>
            </w:r>
          </w:p>
        </w:tc>
        <w:tc>
          <w:tcPr>
            <w:tcW w:w="2798" w:type="dxa"/>
            <w:gridSpan w:val="5"/>
            <w:tcBorders>
              <w:right w:val="single" w:color="auto" w:sz="4" w:space="0"/>
            </w:tcBorders>
            <w:vAlign w:val="center"/>
          </w:tcPr>
          <w:p>
            <w:pPr>
              <w:ind w:left="-57" w:right="-57" w:firstLine="0" w:firstLineChars="0"/>
              <w:rPr>
                <w:rFonts w:ascii="宋体" w:hAnsi="宋体" w:eastAsia="宋体"/>
                <w:sz w:val="21"/>
                <w:szCs w:val="21"/>
              </w:rPr>
            </w:pPr>
            <w:r>
              <w:rPr>
                <w:rFonts w:hint="eastAsia" w:ascii="宋体" w:hAnsi="宋体" w:eastAsia="宋体"/>
                <w:color w:val="0000FF"/>
                <w:sz w:val="21"/>
                <w:szCs w:val="21"/>
              </w:rPr>
              <w:t>示例：所在单位规范全称及职务全称</w:t>
            </w:r>
          </w:p>
        </w:tc>
        <w:tc>
          <w:tcPr>
            <w:tcW w:w="1278" w:type="dxa"/>
            <w:tcBorders>
              <w:left w:val="single" w:color="auto" w:sz="4" w:space="0"/>
              <w:right w:val="single" w:color="auto" w:sz="4" w:space="0"/>
            </w:tcBorders>
            <w:vAlign w:val="center"/>
          </w:tcPr>
          <w:p>
            <w:pPr>
              <w:spacing w:line="280" w:lineRule="exact"/>
              <w:ind w:left="-57" w:right="-57" w:firstLine="0" w:firstLineChars="0"/>
              <w:jc w:val="center"/>
              <w:rPr>
                <w:rFonts w:ascii="宋体" w:hAnsi="宋体" w:eastAsia="宋体"/>
                <w:sz w:val="21"/>
                <w:szCs w:val="21"/>
              </w:rPr>
            </w:pPr>
            <w:r>
              <w:rPr>
                <w:rFonts w:hint="eastAsia" w:ascii="宋体" w:hAnsi="宋体" w:eastAsia="宋体"/>
                <w:sz w:val="21"/>
                <w:szCs w:val="21"/>
              </w:rPr>
              <w:t>职务级别</w:t>
            </w:r>
          </w:p>
          <w:p>
            <w:pPr>
              <w:spacing w:line="280" w:lineRule="exact"/>
              <w:ind w:left="-57" w:right="-57" w:firstLine="0" w:firstLineChars="0"/>
              <w:jc w:val="center"/>
              <w:rPr>
                <w:rFonts w:ascii="宋体" w:hAnsi="宋体" w:eastAsia="宋体"/>
                <w:sz w:val="21"/>
                <w:szCs w:val="21"/>
              </w:rPr>
            </w:pPr>
            <w:r>
              <w:rPr>
                <w:rFonts w:hint="eastAsia" w:ascii="宋体" w:hAnsi="宋体" w:eastAsia="宋体"/>
                <w:sz w:val="21"/>
                <w:szCs w:val="21"/>
              </w:rPr>
              <w:t>（如有）</w:t>
            </w:r>
          </w:p>
        </w:tc>
        <w:tc>
          <w:tcPr>
            <w:tcW w:w="1134" w:type="dxa"/>
            <w:tcBorders>
              <w:left w:val="single" w:color="auto" w:sz="4" w:space="0"/>
              <w:right w:val="single" w:color="auto" w:sz="4" w:space="0"/>
            </w:tcBorders>
            <w:vAlign w:val="center"/>
          </w:tcPr>
          <w:p>
            <w:pPr>
              <w:ind w:left="-57" w:right="-57" w:firstLine="0" w:firstLineChars="0"/>
              <w:rPr>
                <w:rFonts w:ascii="宋体" w:hAnsi="宋体" w:eastAsia="宋体"/>
                <w:bCs/>
                <w:sz w:val="21"/>
                <w:szCs w:val="21"/>
              </w:rPr>
            </w:pPr>
          </w:p>
        </w:tc>
        <w:tc>
          <w:tcPr>
            <w:tcW w:w="709" w:type="dxa"/>
            <w:tcBorders>
              <w:left w:val="single" w:color="auto" w:sz="4" w:space="0"/>
              <w:right w:val="single" w:color="auto" w:sz="4" w:space="0"/>
            </w:tcBorders>
            <w:vAlign w:val="center"/>
          </w:tcPr>
          <w:p>
            <w:pPr>
              <w:ind w:left="-57" w:right="-57" w:firstLine="0" w:firstLineChars="0"/>
              <w:jc w:val="center"/>
              <w:rPr>
                <w:rFonts w:ascii="宋体" w:hAnsi="宋体" w:eastAsia="宋体"/>
                <w:bCs/>
                <w:sz w:val="21"/>
                <w:szCs w:val="21"/>
              </w:rPr>
            </w:pPr>
            <w:r>
              <w:rPr>
                <w:rFonts w:hint="eastAsia" w:ascii="宋体" w:hAnsi="宋体" w:eastAsia="宋体"/>
                <w:bCs/>
                <w:sz w:val="21"/>
                <w:szCs w:val="21"/>
              </w:rPr>
              <w:t>任职时间</w:t>
            </w:r>
          </w:p>
        </w:tc>
        <w:tc>
          <w:tcPr>
            <w:tcW w:w="2249" w:type="dxa"/>
            <w:gridSpan w:val="2"/>
            <w:tcBorders>
              <w:left w:val="single" w:color="auto" w:sz="4" w:space="0"/>
              <w:right w:val="single" w:color="auto" w:sz="12" w:space="0"/>
            </w:tcBorders>
            <w:vAlign w:val="center"/>
          </w:tcPr>
          <w:p>
            <w:pPr>
              <w:ind w:left="-57" w:right="-57" w:firstLine="0" w:firstLineChars="0"/>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tcBorders>
              <w:left w:val="single" w:color="auto" w:sz="12" w:space="0"/>
            </w:tcBorders>
            <w:vAlign w:val="center"/>
          </w:tcPr>
          <w:p>
            <w:pPr>
              <w:spacing w:line="300" w:lineRule="exact"/>
              <w:ind w:left="-57" w:right="-57" w:firstLine="0" w:firstLineChars="0"/>
              <w:jc w:val="center"/>
              <w:rPr>
                <w:rFonts w:ascii="宋体" w:hAnsi="宋体" w:eastAsia="宋体"/>
                <w:sz w:val="21"/>
                <w:szCs w:val="21"/>
              </w:rPr>
            </w:pPr>
            <w:r>
              <w:rPr>
                <w:rFonts w:hint="eastAsia" w:ascii="宋体" w:hAnsi="宋体" w:eastAsia="宋体"/>
                <w:sz w:val="21"/>
                <w:szCs w:val="21"/>
              </w:rPr>
              <w:t>专业技术职务</w:t>
            </w:r>
          </w:p>
        </w:tc>
        <w:tc>
          <w:tcPr>
            <w:tcW w:w="2798" w:type="dxa"/>
            <w:gridSpan w:val="5"/>
            <w:tcBorders>
              <w:right w:val="single" w:color="auto" w:sz="4" w:space="0"/>
            </w:tcBorders>
            <w:vAlign w:val="center"/>
          </w:tcPr>
          <w:p>
            <w:pPr>
              <w:ind w:left="-57" w:right="-57" w:firstLine="0" w:firstLineChars="0"/>
              <w:rPr>
                <w:rFonts w:ascii="宋体" w:hAnsi="宋体" w:eastAsia="宋体"/>
                <w:color w:val="0000FF"/>
                <w:sz w:val="21"/>
                <w:szCs w:val="21"/>
              </w:rPr>
            </w:pPr>
            <w:r>
              <w:rPr>
                <w:rFonts w:hint="eastAsia" w:ascii="宋体" w:hAnsi="宋体" w:eastAsia="宋体"/>
                <w:color w:val="0000FF"/>
                <w:sz w:val="21"/>
                <w:szCs w:val="21"/>
              </w:rPr>
              <w:t>示例：工程师</w:t>
            </w:r>
          </w:p>
        </w:tc>
        <w:tc>
          <w:tcPr>
            <w:tcW w:w="1278" w:type="dxa"/>
            <w:tcBorders>
              <w:left w:val="single" w:color="auto" w:sz="4" w:space="0"/>
              <w:right w:val="single" w:color="auto" w:sz="4" w:space="0"/>
            </w:tcBorders>
            <w:vAlign w:val="center"/>
          </w:tcPr>
          <w:p>
            <w:pPr>
              <w:spacing w:line="280" w:lineRule="exact"/>
              <w:ind w:left="-57" w:right="-57" w:firstLine="0" w:firstLineChars="0"/>
              <w:jc w:val="center"/>
              <w:rPr>
                <w:rFonts w:ascii="宋体" w:hAnsi="宋体" w:eastAsia="宋体"/>
                <w:sz w:val="21"/>
                <w:szCs w:val="21"/>
              </w:rPr>
            </w:pPr>
            <w:r>
              <w:rPr>
                <w:rFonts w:hint="eastAsia" w:ascii="宋体" w:hAnsi="宋体" w:eastAsia="宋体"/>
                <w:sz w:val="21"/>
                <w:szCs w:val="21"/>
              </w:rPr>
              <w:t>注册/执业资格证书</w:t>
            </w:r>
          </w:p>
        </w:tc>
        <w:tc>
          <w:tcPr>
            <w:tcW w:w="4092" w:type="dxa"/>
            <w:gridSpan w:val="4"/>
            <w:tcBorders>
              <w:left w:val="single" w:color="auto" w:sz="4" w:space="0"/>
              <w:right w:val="single" w:color="auto" w:sz="12" w:space="0"/>
            </w:tcBorders>
            <w:vAlign w:val="center"/>
          </w:tcPr>
          <w:p>
            <w:pPr>
              <w:ind w:left="-57" w:right="-57" w:firstLine="0" w:firstLineChars="0"/>
              <w:rPr>
                <w:rFonts w:ascii="宋体" w:hAnsi="宋体" w:eastAsia="宋体"/>
                <w:bCs/>
                <w:sz w:val="21"/>
                <w:szCs w:val="21"/>
              </w:rPr>
            </w:pPr>
            <w:r>
              <w:rPr>
                <w:rFonts w:hint="eastAsia" w:ascii="宋体" w:hAnsi="宋体" w:eastAsia="宋体"/>
                <w:color w:val="0000FF"/>
                <w:sz w:val="21"/>
                <w:szCs w:val="21"/>
              </w:rPr>
              <w:t>示例：注册会计师/法律职业资格证书/注册一级建造师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4" w:hRule="atLeast"/>
        </w:trPr>
        <w:tc>
          <w:tcPr>
            <w:tcW w:w="1406" w:type="dxa"/>
            <w:tcBorders>
              <w:top w:val="single" w:color="auto" w:sz="2" w:space="0"/>
              <w:left w:val="single" w:color="auto" w:sz="12" w:space="0"/>
              <w:bottom w:val="single" w:color="auto" w:sz="2" w:space="0"/>
              <w:right w:val="single" w:color="auto" w:sz="2" w:space="0"/>
            </w:tcBorders>
            <w:vAlign w:val="center"/>
          </w:tcPr>
          <w:p>
            <w:pPr>
              <w:ind w:firstLine="0" w:firstLineChars="0"/>
              <w:jc w:val="center"/>
              <w:rPr>
                <w:rFonts w:ascii="宋体" w:hAnsi="宋体" w:eastAsia="宋体"/>
                <w:sz w:val="21"/>
                <w:szCs w:val="21"/>
              </w:rPr>
            </w:pPr>
            <w:r>
              <w:rPr>
                <w:rFonts w:hint="eastAsia" w:ascii="宋体" w:hAnsi="宋体" w:eastAsia="宋体"/>
                <w:sz w:val="21"/>
                <w:szCs w:val="21"/>
              </w:rPr>
              <w:t>工作经历</w:t>
            </w:r>
          </w:p>
        </w:tc>
        <w:tc>
          <w:tcPr>
            <w:tcW w:w="8168" w:type="dxa"/>
            <w:gridSpan w:val="10"/>
            <w:tcBorders>
              <w:top w:val="single" w:color="auto" w:sz="2" w:space="0"/>
              <w:left w:val="single" w:color="auto" w:sz="2" w:space="0"/>
              <w:bottom w:val="single" w:color="auto" w:sz="2" w:space="0"/>
              <w:right w:val="single" w:color="auto" w:sz="12" w:space="0"/>
            </w:tcBorders>
            <w:vAlign w:val="center"/>
          </w:tcPr>
          <w:p>
            <w:pPr>
              <w:snapToGrid w:val="0"/>
              <w:ind w:firstLine="0" w:firstLineChars="0"/>
              <w:rPr>
                <w:rFonts w:ascii="Calibri" w:hAnsi="Calibri" w:eastAsia="宋体"/>
                <w:color w:val="0000FF"/>
                <w:sz w:val="21"/>
              </w:rPr>
            </w:pPr>
            <w:r>
              <w:rPr>
                <w:rFonts w:hint="eastAsia" w:ascii="Calibri" w:hAnsi="Calibri" w:eastAsia="宋体"/>
                <w:color w:val="0000FF"/>
                <w:sz w:val="21"/>
              </w:rPr>
              <w:t>（从高中毕业后写起，不含高中经历。有空白期的请写明，待业或待分配。借调</w:t>
            </w:r>
            <w:r>
              <w:rPr>
                <w:rFonts w:ascii="Calibri" w:hAnsi="Calibri" w:eastAsia="宋体"/>
                <w:color w:val="0000FF"/>
                <w:sz w:val="21"/>
              </w:rPr>
              <w:t>/</w:t>
            </w:r>
            <w:r>
              <w:rPr>
                <w:rFonts w:hint="eastAsia" w:ascii="Calibri" w:hAnsi="Calibri" w:eastAsia="宋体"/>
                <w:color w:val="0000FF"/>
                <w:sz w:val="21"/>
              </w:rPr>
              <w:t>挂职的，写明原单位和实际工作单位，注明借调/挂职。）</w:t>
            </w:r>
          </w:p>
          <w:p>
            <w:pPr>
              <w:snapToGrid w:val="0"/>
              <w:ind w:firstLine="0" w:firstLineChars="0"/>
              <w:rPr>
                <w:rFonts w:ascii="Calibri" w:hAnsi="Calibri" w:eastAsia="宋体"/>
                <w:color w:val="0000FF"/>
                <w:sz w:val="21"/>
              </w:rPr>
            </w:pPr>
          </w:p>
          <w:p>
            <w:pPr>
              <w:snapToGrid w:val="0"/>
              <w:ind w:firstLine="0" w:firstLineChars="0"/>
              <w:rPr>
                <w:rFonts w:ascii="Calibri" w:hAnsi="Calibri" w:eastAsia="宋体"/>
                <w:color w:val="0000FF"/>
                <w:sz w:val="21"/>
              </w:rPr>
            </w:pPr>
            <w:r>
              <w:rPr>
                <w:rFonts w:hint="eastAsia" w:ascii="Calibri" w:hAnsi="Calibri" w:eastAsia="宋体"/>
                <w:color w:val="0000FF"/>
                <w:sz w:val="21"/>
              </w:rPr>
              <w:t>按时间、企业名称、企业规模（按照《中小企业划型标准规定》界定的标准划分）、担任职务、工作职责进行撰写，示例：</w:t>
            </w:r>
          </w:p>
          <w:p>
            <w:pPr>
              <w:snapToGrid w:val="0"/>
              <w:ind w:firstLine="0" w:firstLineChars="0"/>
              <w:rPr>
                <w:rFonts w:ascii="Calibri" w:hAnsi="Calibri" w:eastAsia="宋体"/>
                <w:color w:val="0000FF"/>
                <w:sz w:val="21"/>
              </w:rPr>
            </w:pPr>
          </w:p>
          <w:p>
            <w:pPr>
              <w:snapToGrid w:val="0"/>
              <w:ind w:firstLine="0" w:firstLineChars="0"/>
              <w:rPr>
                <w:rFonts w:ascii="Calibri" w:hAnsi="Calibri" w:eastAsia="宋体"/>
                <w:b/>
                <w:bCs/>
                <w:color w:val="0000FF"/>
                <w:sz w:val="21"/>
              </w:rPr>
            </w:pPr>
            <w:r>
              <w:rPr>
                <w:rFonts w:hint="eastAsia" w:ascii="Calibri" w:hAnsi="Calibri" w:eastAsia="宋体"/>
                <w:b/>
                <w:bCs/>
                <w:color w:val="0000FF"/>
                <w:sz w:val="21"/>
              </w:rPr>
              <w:t>2016.08</w:t>
            </w:r>
            <w:r>
              <w:rPr>
                <w:rFonts w:ascii="Calibri" w:hAnsi="Calibri" w:eastAsia="宋体"/>
                <w:b/>
                <w:bCs/>
                <w:color w:val="0000FF"/>
                <w:sz w:val="21"/>
              </w:rPr>
              <w:t>-</w:t>
            </w:r>
            <w:r>
              <w:rPr>
                <w:rFonts w:hint="eastAsia" w:ascii="Calibri" w:hAnsi="Calibri" w:eastAsia="宋体"/>
                <w:b/>
                <w:bCs/>
                <w:color w:val="0000FF"/>
                <w:sz w:val="21"/>
              </w:rPr>
              <w:t>2024</w:t>
            </w:r>
            <w:r>
              <w:rPr>
                <w:rFonts w:ascii="Calibri" w:hAnsi="Calibri" w:eastAsia="宋体"/>
                <w:b/>
                <w:bCs/>
                <w:color w:val="0000FF"/>
                <w:sz w:val="21"/>
              </w:rPr>
              <w:t>.</w:t>
            </w:r>
            <w:r>
              <w:rPr>
                <w:rFonts w:hint="eastAsia" w:ascii="Calibri" w:hAnsi="Calibri" w:eastAsia="宋体"/>
                <w:b/>
                <w:bCs/>
                <w:color w:val="0000FF"/>
                <w:sz w:val="21"/>
              </w:rPr>
              <w:t xml:space="preserve">02  </w:t>
            </w:r>
            <w:r>
              <w:rPr>
                <w:rFonts w:ascii="Calibri" w:hAnsi="Calibri" w:eastAsia="宋体"/>
                <w:b/>
                <w:bCs/>
                <w:color w:val="0000FF"/>
                <w:sz w:val="21"/>
              </w:rPr>
              <w:t xml:space="preserve"> </w:t>
            </w:r>
            <w:r>
              <w:rPr>
                <w:rFonts w:hint="eastAsia" w:ascii="Calibri" w:hAnsi="Calibri" w:eastAsia="宋体"/>
                <w:b/>
                <w:bCs/>
                <w:color w:val="0000FF"/>
                <w:sz w:val="21"/>
              </w:rPr>
              <w:t>XXXX公司（该企业XXXX年营业收入/资产总额为XX万元，具有员工XX人，为大/中/小/微型企业）　XX部门XX岗位（员工/中层/高管）</w:t>
            </w:r>
          </w:p>
          <w:p>
            <w:pPr>
              <w:ind w:firstLine="0" w:firstLineChars="0"/>
              <w:rPr>
                <w:rFonts w:ascii="Calibri" w:hAnsi="Calibri" w:eastAsia="宋体"/>
                <w:color w:val="0000FF"/>
                <w:sz w:val="21"/>
              </w:rPr>
            </w:pPr>
            <w:r>
              <w:rPr>
                <w:rFonts w:hint="eastAsia" w:ascii="Calibri" w:hAnsi="Calibri" w:eastAsia="宋体"/>
                <w:color w:val="0000FF"/>
                <w:sz w:val="21"/>
              </w:rPr>
              <w:t>工作职责：1</w:t>
            </w:r>
            <w:r>
              <w:rPr>
                <w:rFonts w:ascii="Calibri" w:hAnsi="Calibri" w:eastAsia="宋体"/>
                <w:color w:val="0000FF"/>
                <w:sz w:val="21"/>
              </w:rPr>
              <w:t>.</w:t>
            </w:r>
            <w:r>
              <w:rPr>
                <w:rFonts w:hint="eastAsia" w:ascii="Calibri" w:hAnsi="Calibri" w:eastAsia="宋体"/>
                <w:color w:val="0000FF"/>
                <w:sz w:val="21"/>
              </w:rPr>
              <w:t>XXXX</w:t>
            </w:r>
          </w:p>
          <w:p>
            <w:pPr>
              <w:ind w:firstLine="0" w:firstLineChars="0"/>
              <w:rPr>
                <w:rFonts w:ascii="Calibri" w:hAnsi="Calibri" w:eastAsia="宋体"/>
                <w:color w:val="0000FF"/>
                <w:sz w:val="21"/>
              </w:rPr>
            </w:pPr>
            <w:r>
              <w:rPr>
                <w:rFonts w:hint="eastAsia" w:ascii="Calibri" w:hAnsi="Calibri" w:eastAsia="宋体"/>
                <w:color w:val="0000FF"/>
                <w:sz w:val="21"/>
              </w:rPr>
              <w:t xml:space="preserve"> </w:t>
            </w:r>
            <w:r>
              <w:rPr>
                <w:rFonts w:ascii="Calibri" w:hAnsi="Calibri" w:eastAsia="宋体"/>
                <w:color w:val="0000FF"/>
                <w:sz w:val="21"/>
              </w:rPr>
              <w:t xml:space="preserve">         2.</w:t>
            </w:r>
            <w:r>
              <w:rPr>
                <w:rFonts w:hint="eastAsia" w:ascii="Calibri" w:hAnsi="Calibri" w:eastAsia="宋体"/>
                <w:color w:val="0000FF"/>
                <w:sz w:val="21"/>
              </w:rPr>
              <w:t>XXXX</w:t>
            </w:r>
          </w:p>
          <w:p>
            <w:pPr>
              <w:ind w:firstLine="0" w:firstLineChars="0"/>
              <w:rPr>
                <w:rFonts w:ascii="Calibri" w:hAnsi="Calibri" w:eastAsia="宋体"/>
                <w:sz w:val="21"/>
              </w:rPr>
            </w:pPr>
          </w:p>
          <w:p>
            <w:pPr>
              <w:ind w:firstLine="0" w:firstLineChars="0"/>
              <w:rPr>
                <w:rFonts w:ascii="Calibri" w:hAnsi="Calibri" w:eastAsia="宋体"/>
                <w:sz w:val="21"/>
              </w:rPr>
            </w:pPr>
          </w:p>
          <w:p>
            <w:pPr>
              <w:ind w:firstLine="0" w:firstLineChars="0"/>
              <w:rPr>
                <w:rFonts w:ascii="Calibri" w:hAnsi="Calibri"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8" w:hRule="atLeast"/>
        </w:trPr>
        <w:tc>
          <w:tcPr>
            <w:tcW w:w="1406" w:type="dxa"/>
            <w:tcBorders>
              <w:top w:val="single" w:color="auto" w:sz="2" w:space="0"/>
              <w:left w:val="single" w:color="auto" w:sz="12" w:space="0"/>
              <w:bottom w:val="single" w:color="auto" w:sz="2" w:space="0"/>
              <w:right w:val="single" w:color="auto" w:sz="2" w:space="0"/>
            </w:tcBorders>
            <w:vAlign w:val="center"/>
          </w:tcPr>
          <w:p>
            <w:pPr>
              <w:ind w:firstLine="0" w:firstLineChars="0"/>
              <w:jc w:val="center"/>
              <w:rPr>
                <w:rFonts w:ascii="宋体" w:hAnsi="宋体" w:eastAsia="宋体"/>
                <w:sz w:val="21"/>
                <w:szCs w:val="21"/>
              </w:rPr>
            </w:pPr>
            <w:r>
              <w:rPr>
                <w:rFonts w:hint="eastAsia" w:ascii="宋体" w:hAnsi="宋体" w:eastAsia="宋体"/>
                <w:sz w:val="21"/>
                <w:szCs w:val="21"/>
              </w:rPr>
              <w:t>近3年主要</w:t>
            </w:r>
          </w:p>
          <w:p>
            <w:pPr>
              <w:ind w:firstLine="0" w:firstLineChars="0"/>
              <w:jc w:val="center"/>
              <w:rPr>
                <w:rFonts w:ascii="宋体" w:hAnsi="宋体" w:eastAsia="宋体"/>
                <w:sz w:val="21"/>
                <w:szCs w:val="21"/>
              </w:rPr>
            </w:pPr>
            <w:r>
              <w:rPr>
                <w:rFonts w:hint="eastAsia" w:ascii="宋体" w:hAnsi="宋体" w:eastAsia="宋体"/>
                <w:sz w:val="21"/>
                <w:szCs w:val="21"/>
              </w:rPr>
              <w:t>工作业绩</w:t>
            </w:r>
          </w:p>
        </w:tc>
        <w:tc>
          <w:tcPr>
            <w:tcW w:w="8168" w:type="dxa"/>
            <w:gridSpan w:val="10"/>
            <w:tcBorders>
              <w:top w:val="single" w:color="auto" w:sz="2" w:space="0"/>
              <w:left w:val="single" w:color="auto" w:sz="2" w:space="0"/>
              <w:bottom w:val="single" w:color="auto" w:sz="2" w:space="0"/>
              <w:right w:val="single" w:color="auto" w:sz="12" w:space="0"/>
            </w:tcBorders>
            <w:vAlign w:val="center"/>
          </w:tcPr>
          <w:p>
            <w:pPr>
              <w:ind w:firstLine="0" w:firstLineChars="0"/>
              <w:rPr>
                <w:rFonts w:ascii="宋体" w:hAnsi="宋体" w:eastAsia="宋体"/>
                <w:color w:val="FF0000"/>
                <w:sz w:val="21"/>
                <w:szCs w:val="21"/>
              </w:rPr>
            </w:pPr>
          </w:p>
          <w:p>
            <w:pPr>
              <w:ind w:firstLine="0" w:firstLineChars="0"/>
              <w:rPr>
                <w:rFonts w:ascii="宋体" w:hAnsi="宋体" w:eastAsia="宋体"/>
                <w:color w:val="FF0000"/>
                <w:sz w:val="21"/>
                <w:szCs w:val="21"/>
              </w:rPr>
            </w:pPr>
          </w:p>
          <w:p>
            <w:pPr>
              <w:ind w:firstLine="0" w:firstLineChars="0"/>
              <w:rPr>
                <w:rFonts w:ascii="宋体" w:hAnsi="宋体" w:eastAsia="宋体"/>
                <w:color w:val="FF0000"/>
                <w:sz w:val="21"/>
                <w:szCs w:val="21"/>
              </w:rPr>
            </w:pPr>
          </w:p>
          <w:p>
            <w:pPr>
              <w:ind w:firstLine="0" w:firstLineChars="0"/>
              <w:rPr>
                <w:rFonts w:ascii="宋体" w:hAnsi="宋体" w:eastAsia="宋体"/>
                <w:color w:val="FF0000"/>
                <w:sz w:val="21"/>
                <w:szCs w:val="21"/>
              </w:rPr>
            </w:pPr>
          </w:p>
          <w:p>
            <w:pPr>
              <w:ind w:firstLine="0" w:firstLineChars="0"/>
              <w:rPr>
                <w:rFonts w:ascii="宋体" w:hAnsi="宋体" w:eastAsia="宋体"/>
                <w:color w:val="FF0000"/>
                <w:sz w:val="21"/>
                <w:szCs w:val="21"/>
              </w:rPr>
            </w:pPr>
          </w:p>
          <w:p>
            <w:pPr>
              <w:ind w:firstLine="0" w:firstLineChars="0"/>
              <w:rPr>
                <w:rFonts w:ascii="宋体" w:hAnsi="宋体" w:eastAsia="宋体"/>
                <w:color w:val="FF0000"/>
                <w:sz w:val="21"/>
                <w:szCs w:val="21"/>
              </w:rPr>
            </w:pPr>
          </w:p>
          <w:p>
            <w:pPr>
              <w:ind w:firstLine="0" w:firstLineChars="0"/>
              <w:rPr>
                <w:rFonts w:ascii="宋体" w:hAnsi="宋体" w:eastAsia="宋体"/>
                <w:color w:val="FF0000"/>
                <w:sz w:val="21"/>
                <w:szCs w:val="21"/>
              </w:rPr>
            </w:pPr>
          </w:p>
          <w:p>
            <w:pPr>
              <w:ind w:firstLine="0" w:firstLineChars="0"/>
              <w:rPr>
                <w:rFonts w:ascii="宋体" w:hAnsi="宋体" w:eastAsia="宋体"/>
                <w:color w:val="FF0000"/>
                <w:sz w:val="21"/>
                <w:szCs w:val="21"/>
              </w:rPr>
            </w:pPr>
          </w:p>
          <w:p>
            <w:pPr>
              <w:ind w:firstLine="0" w:firstLineChars="0"/>
              <w:rPr>
                <w:rFonts w:ascii="宋体" w:hAnsi="宋体" w:eastAsia="宋体"/>
                <w:color w:val="FF0000"/>
                <w:sz w:val="21"/>
                <w:szCs w:val="21"/>
              </w:rPr>
            </w:pPr>
          </w:p>
          <w:p>
            <w:pPr>
              <w:ind w:firstLine="0" w:firstLineChars="0"/>
              <w:rPr>
                <w:rFonts w:ascii="宋体" w:hAnsi="宋体" w:eastAsia="宋体"/>
                <w:color w:val="FF0000"/>
                <w:sz w:val="21"/>
                <w:szCs w:val="21"/>
              </w:rPr>
            </w:pPr>
          </w:p>
          <w:p>
            <w:pPr>
              <w:snapToGrid w:val="0"/>
              <w:spacing w:line="400" w:lineRule="exact"/>
              <w:ind w:firstLine="0" w:firstLineChars="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trPr>
        <w:tc>
          <w:tcPr>
            <w:tcW w:w="1406" w:type="dxa"/>
            <w:tcBorders>
              <w:top w:val="single" w:color="auto" w:sz="2" w:space="0"/>
              <w:left w:val="single" w:color="auto" w:sz="12" w:space="0"/>
              <w:bottom w:val="single" w:color="auto" w:sz="2" w:space="0"/>
              <w:right w:val="single" w:color="auto" w:sz="2" w:space="0"/>
            </w:tcBorders>
            <w:vAlign w:val="center"/>
          </w:tcPr>
          <w:p>
            <w:pPr>
              <w:ind w:firstLine="0" w:firstLineChars="0"/>
              <w:jc w:val="center"/>
              <w:rPr>
                <w:rFonts w:ascii="宋体" w:hAnsi="宋体" w:eastAsia="宋体"/>
                <w:sz w:val="21"/>
                <w:szCs w:val="21"/>
              </w:rPr>
            </w:pPr>
            <w:r>
              <w:rPr>
                <w:rFonts w:hint="eastAsia" w:ascii="宋体" w:hAnsi="宋体" w:eastAsia="宋体"/>
                <w:sz w:val="21"/>
                <w:szCs w:val="21"/>
              </w:rPr>
              <w:t>奖惩情况</w:t>
            </w:r>
          </w:p>
        </w:tc>
        <w:tc>
          <w:tcPr>
            <w:tcW w:w="8168" w:type="dxa"/>
            <w:gridSpan w:val="10"/>
            <w:tcBorders>
              <w:top w:val="single" w:color="auto" w:sz="2" w:space="0"/>
              <w:left w:val="single" w:color="auto" w:sz="2" w:space="0"/>
              <w:bottom w:val="single" w:color="auto" w:sz="2" w:space="0"/>
              <w:right w:val="single" w:color="auto" w:sz="12" w:space="0"/>
            </w:tcBorders>
            <w:vAlign w:val="center"/>
          </w:tcPr>
          <w:p>
            <w:pPr>
              <w:snapToGrid w:val="0"/>
              <w:spacing w:line="400" w:lineRule="exact"/>
              <w:ind w:firstLine="456"/>
              <w:rPr>
                <w:rFonts w:ascii="宋体" w:hAnsi="宋体" w:eastAsia="宋体"/>
                <w:color w:val="FF0000"/>
                <w:sz w:val="21"/>
                <w:szCs w:val="21"/>
              </w:rPr>
            </w:pPr>
            <w:r>
              <w:rPr>
                <w:rFonts w:hint="eastAsia" w:ascii="宋体" w:hAnsi="宋体" w:eastAsia="宋体"/>
                <w:color w:val="0000FF"/>
                <w:sz w:val="21"/>
                <w:szCs w:val="21"/>
              </w:rPr>
              <w:t>没有奖惩情况的请注明：无惩处/无奖励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1406" w:type="dxa"/>
            <w:tcBorders>
              <w:top w:val="single" w:color="auto" w:sz="2" w:space="0"/>
              <w:left w:val="single" w:color="auto" w:sz="12" w:space="0"/>
              <w:bottom w:val="single" w:color="auto" w:sz="2" w:space="0"/>
              <w:right w:val="single" w:color="auto" w:sz="2" w:space="0"/>
            </w:tcBorders>
            <w:vAlign w:val="center"/>
          </w:tcPr>
          <w:p>
            <w:pPr>
              <w:ind w:firstLine="0" w:firstLineChars="0"/>
              <w:jc w:val="center"/>
              <w:rPr>
                <w:rFonts w:ascii="宋体" w:hAnsi="宋体" w:eastAsia="宋体"/>
                <w:sz w:val="21"/>
                <w:szCs w:val="21"/>
              </w:rPr>
            </w:pPr>
            <w:r>
              <w:rPr>
                <w:rFonts w:hint="eastAsia" w:ascii="宋体" w:hAnsi="宋体" w:eastAsia="宋体"/>
                <w:sz w:val="21"/>
                <w:szCs w:val="21"/>
              </w:rPr>
              <w:t>熟悉专业、业务及特长</w:t>
            </w:r>
          </w:p>
        </w:tc>
        <w:tc>
          <w:tcPr>
            <w:tcW w:w="8168" w:type="dxa"/>
            <w:gridSpan w:val="10"/>
            <w:tcBorders>
              <w:top w:val="single" w:color="auto" w:sz="2" w:space="0"/>
              <w:left w:val="single" w:color="auto" w:sz="2" w:space="0"/>
              <w:bottom w:val="single" w:color="auto" w:sz="2" w:space="0"/>
              <w:right w:val="single" w:color="auto" w:sz="12" w:space="0"/>
            </w:tcBorders>
            <w:vAlign w:val="center"/>
          </w:tcPr>
          <w:p>
            <w:pPr>
              <w:snapToGrid w:val="0"/>
              <w:spacing w:line="400" w:lineRule="exact"/>
              <w:ind w:firstLine="0" w:firstLineChars="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406" w:type="dxa"/>
            <w:vMerge w:val="restart"/>
            <w:tcBorders>
              <w:top w:val="single" w:color="auto" w:sz="2" w:space="0"/>
              <w:left w:val="single" w:color="auto" w:sz="12" w:space="0"/>
              <w:bottom w:val="single" w:color="auto" w:sz="2" w:space="0"/>
              <w:right w:val="single" w:color="auto" w:sz="2" w:space="0"/>
            </w:tcBorders>
            <w:vAlign w:val="center"/>
          </w:tcPr>
          <w:p>
            <w:pPr>
              <w:ind w:firstLine="0" w:firstLineChars="0"/>
              <w:jc w:val="center"/>
              <w:rPr>
                <w:rFonts w:ascii="宋体" w:hAnsi="宋体" w:eastAsia="宋体"/>
                <w:sz w:val="21"/>
                <w:szCs w:val="21"/>
              </w:rPr>
            </w:pPr>
            <w:r>
              <w:rPr>
                <w:rFonts w:hint="eastAsia" w:ascii="宋体" w:hAnsi="宋体" w:eastAsia="宋体"/>
                <w:sz w:val="21"/>
                <w:szCs w:val="21"/>
              </w:rPr>
              <w:t>家庭主要</w:t>
            </w:r>
          </w:p>
          <w:p>
            <w:pPr>
              <w:ind w:firstLine="0" w:firstLineChars="0"/>
              <w:jc w:val="center"/>
              <w:rPr>
                <w:rFonts w:ascii="宋体" w:hAnsi="宋体" w:eastAsia="宋体"/>
                <w:sz w:val="21"/>
                <w:szCs w:val="21"/>
              </w:rPr>
            </w:pPr>
            <w:r>
              <w:rPr>
                <w:rFonts w:hint="eastAsia" w:ascii="宋体" w:hAnsi="宋体" w:eastAsia="宋体"/>
                <w:sz w:val="21"/>
                <w:szCs w:val="21"/>
              </w:rPr>
              <w:t>成员及重要</w:t>
            </w:r>
          </w:p>
          <w:p>
            <w:pPr>
              <w:ind w:firstLine="0" w:firstLineChars="0"/>
              <w:jc w:val="center"/>
              <w:rPr>
                <w:rFonts w:ascii="宋体" w:hAnsi="宋体" w:eastAsia="宋体"/>
                <w:sz w:val="21"/>
                <w:szCs w:val="21"/>
              </w:rPr>
            </w:pPr>
            <w:r>
              <w:rPr>
                <w:rFonts w:hint="eastAsia" w:ascii="宋体" w:hAnsi="宋体" w:eastAsia="宋体"/>
                <w:sz w:val="21"/>
                <w:szCs w:val="21"/>
              </w:rPr>
              <w:t>社会关系</w:t>
            </w:r>
          </w:p>
        </w:tc>
        <w:tc>
          <w:tcPr>
            <w:tcW w:w="803" w:type="dxa"/>
            <w:tcBorders>
              <w:top w:val="single" w:color="auto" w:sz="2" w:space="0"/>
              <w:left w:val="single" w:color="auto" w:sz="2" w:space="0"/>
              <w:bottom w:val="single" w:color="auto" w:sz="2" w:space="0"/>
              <w:right w:val="single" w:color="auto" w:sz="2" w:space="0"/>
            </w:tcBorders>
            <w:vAlign w:val="center"/>
          </w:tcPr>
          <w:p>
            <w:pPr>
              <w:ind w:firstLine="0" w:firstLineChars="0"/>
              <w:jc w:val="center"/>
              <w:rPr>
                <w:rFonts w:ascii="宋体" w:hAnsi="宋体" w:eastAsia="宋体"/>
                <w:sz w:val="21"/>
                <w:szCs w:val="21"/>
              </w:rPr>
            </w:pPr>
            <w:r>
              <w:rPr>
                <w:rFonts w:hint="eastAsia" w:ascii="宋体" w:hAnsi="宋体" w:eastAsia="宋体"/>
                <w:sz w:val="21"/>
                <w:szCs w:val="21"/>
              </w:rPr>
              <w:t>称谓</w:t>
            </w:r>
          </w:p>
        </w:tc>
        <w:tc>
          <w:tcPr>
            <w:tcW w:w="1101" w:type="dxa"/>
            <w:gridSpan w:val="3"/>
            <w:tcBorders>
              <w:top w:val="single" w:color="auto" w:sz="2" w:space="0"/>
              <w:left w:val="single" w:color="auto" w:sz="2" w:space="0"/>
              <w:bottom w:val="single" w:color="auto" w:sz="2" w:space="0"/>
              <w:right w:val="single" w:color="auto" w:sz="2" w:space="0"/>
            </w:tcBorders>
            <w:vAlign w:val="center"/>
          </w:tcPr>
          <w:p>
            <w:pPr>
              <w:ind w:firstLine="0" w:firstLineChars="0"/>
              <w:jc w:val="center"/>
              <w:rPr>
                <w:rFonts w:ascii="宋体" w:hAnsi="宋体" w:eastAsia="宋体"/>
                <w:sz w:val="21"/>
                <w:szCs w:val="21"/>
              </w:rPr>
            </w:pPr>
            <w:r>
              <w:rPr>
                <w:rFonts w:hint="eastAsia" w:ascii="宋体" w:hAnsi="宋体" w:eastAsia="宋体"/>
                <w:sz w:val="21"/>
                <w:szCs w:val="21"/>
              </w:rPr>
              <w:t>姓名</w:t>
            </w:r>
          </w:p>
        </w:tc>
        <w:tc>
          <w:tcPr>
            <w:tcW w:w="2172" w:type="dxa"/>
            <w:gridSpan w:val="2"/>
            <w:tcBorders>
              <w:top w:val="single" w:color="auto" w:sz="2" w:space="0"/>
              <w:left w:val="single" w:color="auto" w:sz="2" w:space="0"/>
              <w:bottom w:val="single" w:color="auto" w:sz="2" w:space="0"/>
              <w:right w:val="single" w:color="auto" w:sz="2" w:space="0"/>
            </w:tcBorders>
            <w:vAlign w:val="center"/>
          </w:tcPr>
          <w:p>
            <w:pPr>
              <w:ind w:firstLine="0" w:firstLineChars="0"/>
              <w:jc w:val="center"/>
              <w:rPr>
                <w:rFonts w:ascii="宋体" w:hAnsi="宋体" w:eastAsia="宋体"/>
                <w:sz w:val="21"/>
                <w:szCs w:val="21"/>
              </w:rPr>
            </w:pPr>
            <w:r>
              <w:rPr>
                <w:rFonts w:hint="eastAsia" w:ascii="宋体" w:hAnsi="宋体" w:eastAsia="宋体"/>
                <w:sz w:val="21"/>
                <w:szCs w:val="21"/>
              </w:rPr>
              <w:t>出生年月</w:t>
            </w:r>
          </w:p>
        </w:tc>
        <w:tc>
          <w:tcPr>
            <w:tcW w:w="1134" w:type="dxa"/>
            <w:tcBorders>
              <w:top w:val="single" w:color="auto" w:sz="2" w:space="0"/>
              <w:left w:val="single" w:color="auto" w:sz="2" w:space="0"/>
              <w:bottom w:val="single" w:color="auto" w:sz="2" w:space="0"/>
              <w:right w:val="single" w:color="auto" w:sz="2" w:space="0"/>
            </w:tcBorders>
            <w:vAlign w:val="center"/>
          </w:tcPr>
          <w:p>
            <w:pPr>
              <w:ind w:firstLine="0" w:firstLineChars="0"/>
              <w:jc w:val="center"/>
              <w:rPr>
                <w:rFonts w:ascii="宋体" w:hAnsi="宋体" w:eastAsia="宋体"/>
                <w:sz w:val="21"/>
                <w:szCs w:val="21"/>
              </w:rPr>
            </w:pPr>
            <w:r>
              <w:rPr>
                <w:rFonts w:hint="eastAsia" w:ascii="宋体" w:hAnsi="宋体" w:eastAsia="宋体"/>
                <w:sz w:val="21"/>
                <w:szCs w:val="21"/>
              </w:rPr>
              <w:t>政治面貌</w:t>
            </w:r>
          </w:p>
        </w:tc>
        <w:tc>
          <w:tcPr>
            <w:tcW w:w="2958" w:type="dxa"/>
            <w:gridSpan w:val="3"/>
            <w:tcBorders>
              <w:top w:val="single" w:color="auto" w:sz="2" w:space="0"/>
              <w:left w:val="single" w:color="auto" w:sz="2" w:space="0"/>
              <w:bottom w:val="single" w:color="auto" w:sz="2" w:space="0"/>
              <w:right w:val="single" w:color="auto" w:sz="12" w:space="0"/>
            </w:tcBorders>
            <w:vAlign w:val="center"/>
          </w:tcPr>
          <w:p>
            <w:pPr>
              <w:ind w:firstLine="0" w:firstLineChars="0"/>
              <w:jc w:val="center"/>
              <w:rPr>
                <w:rFonts w:ascii="宋体" w:hAnsi="宋体" w:eastAsia="宋体"/>
                <w:sz w:val="21"/>
                <w:szCs w:val="21"/>
              </w:rPr>
            </w:pPr>
            <w:r>
              <w:rPr>
                <w:rFonts w:hint="eastAsia" w:ascii="宋体" w:hAnsi="宋体" w:eastAsia="宋体"/>
                <w:sz w:val="21"/>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406" w:type="dxa"/>
            <w:vMerge w:val="continue"/>
            <w:tcBorders>
              <w:top w:val="single" w:color="auto" w:sz="2" w:space="0"/>
              <w:left w:val="single" w:color="auto" w:sz="12" w:space="0"/>
              <w:bottom w:val="single" w:color="auto" w:sz="2" w:space="0"/>
              <w:right w:val="single" w:color="auto" w:sz="2" w:space="0"/>
            </w:tcBorders>
            <w:vAlign w:val="center"/>
          </w:tcPr>
          <w:p>
            <w:pPr>
              <w:ind w:firstLine="0" w:firstLineChars="0"/>
              <w:jc w:val="center"/>
              <w:rPr>
                <w:rFonts w:ascii="宋体" w:hAnsi="宋体" w:eastAsia="宋体"/>
                <w:sz w:val="21"/>
                <w:szCs w:val="21"/>
              </w:rPr>
            </w:pPr>
          </w:p>
        </w:tc>
        <w:tc>
          <w:tcPr>
            <w:tcW w:w="803" w:type="dxa"/>
            <w:tcBorders>
              <w:top w:val="single" w:color="auto" w:sz="2" w:space="0"/>
              <w:left w:val="single" w:color="auto" w:sz="2" w:space="0"/>
              <w:bottom w:val="single" w:color="auto" w:sz="2" w:space="0"/>
              <w:right w:val="single" w:color="auto" w:sz="2" w:space="0"/>
            </w:tcBorders>
            <w:vAlign w:val="center"/>
          </w:tcPr>
          <w:p>
            <w:pPr>
              <w:ind w:left="-57" w:right="-57" w:firstLine="0" w:firstLineChars="0"/>
              <w:jc w:val="center"/>
              <w:rPr>
                <w:rFonts w:ascii="宋体" w:hAnsi="宋体" w:eastAsia="宋体"/>
                <w:sz w:val="21"/>
                <w:szCs w:val="21"/>
              </w:rPr>
            </w:pPr>
          </w:p>
        </w:tc>
        <w:tc>
          <w:tcPr>
            <w:tcW w:w="1101" w:type="dxa"/>
            <w:gridSpan w:val="3"/>
            <w:tcBorders>
              <w:top w:val="single" w:color="auto" w:sz="2" w:space="0"/>
              <w:left w:val="single" w:color="auto" w:sz="2" w:space="0"/>
              <w:bottom w:val="single" w:color="auto" w:sz="2" w:space="0"/>
              <w:right w:val="single" w:color="auto" w:sz="2" w:space="0"/>
            </w:tcBorders>
            <w:vAlign w:val="center"/>
          </w:tcPr>
          <w:p>
            <w:pPr>
              <w:ind w:left="-57" w:right="-57" w:firstLine="0" w:firstLineChars="0"/>
              <w:jc w:val="center"/>
              <w:rPr>
                <w:rFonts w:ascii="宋体" w:hAnsi="宋体" w:eastAsia="宋体"/>
                <w:sz w:val="21"/>
                <w:szCs w:val="21"/>
              </w:rPr>
            </w:pPr>
          </w:p>
        </w:tc>
        <w:tc>
          <w:tcPr>
            <w:tcW w:w="2172" w:type="dxa"/>
            <w:gridSpan w:val="2"/>
            <w:tcBorders>
              <w:top w:val="single" w:color="auto" w:sz="2" w:space="0"/>
              <w:left w:val="single" w:color="auto" w:sz="2" w:space="0"/>
              <w:bottom w:val="single" w:color="auto" w:sz="2" w:space="0"/>
              <w:right w:val="single" w:color="auto" w:sz="2" w:space="0"/>
            </w:tcBorders>
            <w:vAlign w:val="center"/>
          </w:tcPr>
          <w:p>
            <w:pPr>
              <w:ind w:left="-57" w:right="-57" w:firstLine="0" w:firstLineChars="0"/>
              <w:jc w:val="center"/>
              <w:rPr>
                <w:rFonts w:ascii="宋体" w:hAnsi="宋体" w:eastAsia="宋体"/>
                <w:sz w:val="21"/>
                <w:szCs w:val="21"/>
              </w:rPr>
            </w:pPr>
          </w:p>
        </w:tc>
        <w:tc>
          <w:tcPr>
            <w:tcW w:w="1134" w:type="dxa"/>
            <w:tcBorders>
              <w:top w:val="single" w:color="auto" w:sz="2" w:space="0"/>
              <w:left w:val="single" w:color="auto" w:sz="2" w:space="0"/>
              <w:bottom w:val="single" w:color="auto" w:sz="2" w:space="0"/>
              <w:right w:val="single" w:color="auto" w:sz="2" w:space="0"/>
            </w:tcBorders>
            <w:vAlign w:val="center"/>
          </w:tcPr>
          <w:p>
            <w:pPr>
              <w:ind w:left="-57" w:right="-57" w:firstLine="0" w:firstLineChars="0"/>
              <w:jc w:val="center"/>
              <w:rPr>
                <w:rFonts w:ascii="宋体" w:hAnsi="宋体" w:eastAsia="宋体"/>
                <w:sz w:val="21"/>
                <w:szCs w:val="21"/>
              </w:rPr>
            </w:pPr>
          </w:p>
        </w:tc>
        <w:tc>
          <w:tcPr>
            <w:tcW w:w="2958" w:type="dxa"/>
            <w:gridSpan w:val="3"/>
            <w:tcBorders>
              <w:top w:val="single" w:color="auto" w:sz="2" w:space="0"/>
              <w:left w:val="single" w:color="auto" w:sz="2" w:space="0"/>
              <w:bottom w:val="single" w:color="auto" w:sz="2" w:space="0"/>
              <w:right w:val="single" w:color="auto" w:sz="12" w:space="0"/>
            </w:tcBorders>
            <w:vAlign w:val="center"/>
          </w:tcPr>
          <w:p>
            <w:pPr>
              <w:ind w:left="-57" w:right="-57" w:firstLine="0" w:firstLineChars="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406" w:type="dxa"/>
            <w:vMerge w:val="continue"/>
            <w:tcBorders>
              <w:top w:val="single" w:color="auto" w:sz="2" w:space="0"/>
              <w:left w:val="single" w:color="auto" w:sz="12" w:space="0"/>
              <w:bottom w:val="single" w:color="auto" w:sz="2" w:space="0"/>
              <w:right w:val="single" w:color="auto" w:sz="2" w:space="0"/>
            </w:tcBorders>
            <w:vAlign w:val="center"/>
          </w:tcPr>
          <w:p>
            <w:pPr>
              <w:ind w:firstLine="0" w:firstLineChars="0"/>
              <w:jc w:val="center"/>
              <w:rPr>
                <w:rFonts w:ascii="宋体" w:hAnsi="宋体" w:eastAsia="宋体"/>
                <w:sz w:val="21"/>
                <w:szCs w:val="21"/>
              </w:rPr>
            </w:pPr>
          </w:p>
        </w:tc>
        <w:tc>
          <w:tcPr>
            <w:tcW w:w="803" w:type="dxa"/>
            <w:tcBorders>
              <w:top w:val="single" w:color="auto" w:sz="2" w:space="0"/>
              <w:left w:val="single" w:color="auto" w:sz="2" w:space="0"/>
              <w:bottom w:val="single" w:color="auto" w:sz="2" w:space="0"/>
              <w:right w:val="single" w:color="auto" w:sz="2" w:space="0"/>
            </w:tcBorders>
            <w:vAlign w:val="center"/>
          </w:tcPr>
          <w:p>
            <w:pPr>
              <w:ind w:left="-57" w:right="-57" w:firstLine="0" w:firstLineChars="0"/>
              <w:jc w:val="center"/>
              <w:rPr>
                <w:rFonts w:ascii="宋体" w:hAnsi="宋体" w:eastAsia="宋体"/>
                <w:sz w:val="21"/>
                <w:szCs w:val="21"/>
              </w:rPr>
            </w:pPr>
          </w:p>
        </w:tc>
        <w:tc>
          <w:tcPr>
            <w:tcW w:w="1101" w:type="dxa"/>
            <w:gridSpan w:val="3"/>
            <w:tcBorders>
              <w:top w:val="single" w:color="auto" w:sz="2" w:space="0"/>
              <w:left w:val="single" w:color="auto" w:sz="2" w:space="0"/>
              <w:bottom w:val="single" w:color="auto" w:sz="2" w:space="0"/>
              <w:right w:val="single" w:color="auto" w:sz="2" w:space="0"/>
            </w:tcBorders>
            <w:vAlign w:val="center"/>
          </w:tcPr>
          <w:p>
            <w:pPr>
              <w:ind w:left="-57" w:right="-57" w:firstLine="0" w:firstLineChars="0"/>
              <w:jc w:val="center"/>
              <w:rPr>
                <w:rFonts w:ascii="宋体" w:hAnsi="宋体" w:eastAsia="宋体"/>
                <w:sz w:val="21"/>
                <w:szCs w:val="21"/>
              </w:rPr>
            </w:pPr>
          </w:p>
        </w:tc>
        <w:tc>
          <w:tcPr>
            <w:tcW w:w="2172" w:type="dxa"/>
            <w:gridSpan w:val="2"/>
            <w:tcBorders>
              <w:top w:val="single" w:color="auto" w:sz="2" w:space="0"/>
              <w:left w:val="single" w:color="auto" w:sz="2" w:space="0"/>
              <w:bottom w:val="single" w:color="auto" w:sz="2" w:space="0"/>
              <w:right w:val="single" w:color="auto" w:sz="2" w:space="0"/>
            </w:tcBorders>
            <w:vAlign w:val="center"/>
          </w:tcPr>
          <w:p>
            <w:pPr>
              <w:ind w:left="-57" w:right="-57" w:firstLine="0" w:firstLineChars="0"/>
              <w:jc w:val="center"/>
              <w:rPr>
                <w:rFonts w:ascii="宋体" w:hAnsi="宋体" w:eastAsia="宋体"/>
                <w:sz w:val="21"/>
                <w:szCs w:val="21"/>
              </w:rPr>
            </w:pPr>
          </w:p>
        </w:tc>
        <w:tc>
          <w:tcPr>
            <w:tcW w:w="1134" w:type="dxa"/>
            <w:tcBorders>
              <w:top w:val="single" w:color="auto" w:sz="2" w:space="0"/>
              <w:left w:val="single" w:color="auto" w:sz="2" w:space="0"/>
              <w:bottom w:val="single" w:color="auto" w:sz="2" w:space="0"/>
              <w:right w:val="single" w:color="auto" w:sz="2" w:space="0"/>
            </w:tcBorders>
            <w:vAlign w:val="center"/>
          </w:tcPr>
          <w:p>
            <w:pPr>
              <w:ind w:left="-57" w:right="-57" w:firstLine="0" w:firstLineChars="0"/>
              <w:jc w:val="center"/>
              <w:rPr>
                <w:rFonts w:ascii="宋体" w:hAnsi="宋体" w:eastAsia="宋体"/>
                <w:sz w:val="21"/>
                <w:szCs w:val="21"/>
              </w:rPr>
            </w:pPr>
          </w:p>
        </w:tc>
        <w:tc>
          <w:tcPr>
            <w:tcW w:w="2958" w:type="dxa"/>
            <w:gridSpan w:val="3"/>
            <w:tcBorders>
              <w:top w:val="single" w:color="auto" w:sz="2" w:space="0"/>
              <w:left w:val="single" w:color="auto" w:sz="2" w:space="0"/>
              <w:bottom w:val="single" w:color="auto" w:sz="2" w:space="0"/>
              <w:right w:val="single" w:color="auto" w:sz="12" w:space="0"/>
            </w:tcBorders>
            <w:vAlign w:val="center"/>
          </w:tcPr>
          <w:p>
            <w:pPr>
              <w:ind w:left="-57" w:right="-57"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406" w:type="dxa"/>
            <w:vMerge w:val="continue"/>
            <w:tcBorders>
              <w:top w:val="single" w:color="auto" w:sz="2" w:space="0"/>
              <w:left w:val="single" w:color="auto" w:sz="12" w:space="0"/>
              <w:bottom w:val="single" w:color="auto" w:sz="2" w:space="0"/>
              <w:right w:val="single" w:color="auto" w:sz="2" w:space="0"/>
            </w:tcBorders>
            <w:vAlign w:val="center"/>
          </w:tcPr>
          <w:p>
            <w:pPr>
              <w:ind w:firstLine="0" w:firstLineChars="0"/>
              <w:jc w:val="center"/>
              <w:rPr>
                <w:rFonts w:ascii="宋体" w:hAnsi="宋体" w:eastAsia="宋体"/>
                <w:sz w:val="21"/>
                <w:szCs w:val="21"/>
              </w:rPr>
            </w:pPr>
          </w:p>
        </w:tc>
        <w:tc>
          <w:tcPr>
            <w:tcW w:w="803" w:type="dxa"/>
            <w:tcBorders>
              <w:top w:val="single" w:color="auto" w:sz="2" w:space="0"/>
              <w:left w:val="single" w:color="auto" w:sz="2" w:space="0"/>
              <w:bottom w:val="single" w:color="auto" w:sz="2" w:space="0"/>
              <w:right w:val="single" w:color="auto" w:sz="2" w:space="0"/>
            </w:tcBorders>
            <w:vAlign w:val="center"/>
          </w:tcPr>
          <w:p>
            <w:pPr>
              <w:ind w:left="-57" w:right="-57" w:firstLine="0" w:firstLineChars="0"/>
              <w:jc w:val="center"/>
              <w:rPr>
                <w:rFonts w:ascii="宋体" w:hAnsi="宋体" w:eastAsia="宋体"/>
                <w:sz w:val="21"/>
                <w:szCs w:val="21"/>
              </w:rPr>
            </w:pPr>
          </w:p>
        </w:tc>
        <w:tc>
          <w:tcPr>
            <w:tcW w:w="1101" w:type="dxa"/>
            <w:gridSpan w:val="3"/>
            <w:tcBorders>
              <w:top w:val="single" w:color="auto" w:sz="2" w:space="0"/>
              <w:left w:val="single" w:color="auto" w:sz="2" w:space="0"/>
              <w:bottom w:val="single" w:color="auto" w:sz="2" w:space="0"/>
              <w:right w:val="single" w:color="auto" w:sz="2" w:space="0"/>
            </w:tcBorders>
            <w:vAlign w:val="center"/>
          </w:tcPr>
          <w:p>
            <w:pPr>
              <w:ind w:left="-57" w:right="-57" w:firstLine="0" w:firstLineChars="0"/>
              <w:jc w:val="center"/>
              <w:rPr>
                <w:rFonts w:ascii="宋体" w:hAnsi="宋体" w:eastAsia="宋体"/>
                <w:sz w:val="21"/>
                <w:szCs w:val="21"/>
              </w:rPr>
            </w:pPr>
          </w:p>
        </w:tc>
        <w:tc>
          <w:tcPr>
            <w:tcW w:w="2172" w:type="dxa"/>
            <w:gridSpan w:val="2"/>
            <w:tcBorders>
              <w:top w:val="single" w:color="auto" w:sz="2" w:space="0"/>
              <w:left w:val="single" w:color="auto" w:sz="2" w:space="0"/>
              <w:bottom w:val="single" w:color="auto" w:sz="2" w:space="0"/>
              <w:right w:val="single" w:color="auto" w:sz="2" w:space="0"/>
            </w:tcBorders>
            <w:vAlign w:val="center"/>
          </w:tcPr>
          <w:p>
            <w:pPr>
              <w:ind w:left="-57" w:right="-57" w:firstLine="0" w:firstLineChars="0"/>
              <w:jc w:val="center"/>
              <w:rPr>
                <w:rFonts w:ascii="宋体" w:hAnsi="宋体" w:eastAsia="宋体"/>
                <w:sz w:val="21"/>
                <w:szCs w:val="21"/>
              </w:rPr>
            </w:pPr>
          </w:p>
        </w:tc>
        <w:tc>
          <w:tcPr>
            <w:tcW w:w="1134" w:type="dxa"/>
            <w:tcBorders>
              <w:top w:val="single" w:color="auto" w:sz="2" w:space="0"/>
              <w:left w:val="single" w:color="auto" w:sz="2" w:space="0"/>
              <w:bottom w:val="single" w:color="auto" w:sz="2" w:space="0"/>
              <w:right w:val="single" w:color="auto" w:sz="2" w:space="0"/>
            </w:tcBorders>
            <w:vAlign w:val="center"/>
          </w:tcPr>
          <w:p>
            <w:pPr>
              <w:ind w:left="-57" w:right="-57" w:firstLine="0" w:firstLineChars="0"/>
              <w:jc w:val="center"/>
              <w:rPr>
                <w:rFonts w:ascii="宋体" w:hAnsi="宋体" w:eastAsia="宋体"/>
                <w:sz w:val="21"/>
                <w:szCs w:val="21"/>
              </w:rPr>
            </w:pPr>
          </w:p>
        </w:tc>
        <w:tc>
          <w:tcPr>
            <w:tcW w:w="2958" w:type="dxa"/>
            <w:gridSpan w:val="3"/>
            <w:tcBorders>
              <w:top w:val="single" w:color="auto" w:sz="2" w:space="0"/>
              <w:left w:val="single" w:color="auto" w:sz="2" w:space="0"/>
              <w:bottom w:val="single" w:color="auto" w:sz="2" w:space="0"/>
              <w:right w:val="single" w:color="auto" w:sz="12" w:space="0"/>
            </w:tcBorders>
            <w:vAlign w:val="center"/>
          </w:tcPr>
          <w:p>
            <w:pPr>
              <w:ind w:left="-57" w:right="-57"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406" w:type="dxa"/>
            <w:vMerge w:val="continue"/>
            <w:tcBorders>
              <w:top w:val="single" w:color="auto" w:sz="2" w:space="0"/>
              <w:left w:val="single" w:color="auto" w:sz="12" w:space="0"/>
              <w:bottom w:val="single" w:color="auto" w:sz="2" w:space="0"/>
              <w:right w:val="single" w:color="auto" w:sz="2" w:space="0"/>
            </w:tcBorders>
            <w:vAlign w:val="center"/>
          </w:tcPr>
          <w:p>
            <w:pPr>
              <w:ind w:firstLine="0" w:firstLineChars="0"/>
              <w:jc w:val="center"/>
              <w:rPr>
                <w:rFonts w:ascii="宋体" w:hAnsi="宋体" w:eastAsia="宋体"/>
                <w:sz w:val="21"/>
                <w:szCs w:val="21"/>
              </w:rPr>
            </w:pPr>
          </w:p>
        </w:tc>
        <w:tc>
          <w:tcPr>
            <w:tcW w:w="803" w:type="dxa"/>
            <w:tcBorders>
              <w:top w:val="single" w:color="auto" w:sz="2" w:space="0"/>
              <w:left w:val="single" w:color="auto" w:sz="2" w:space="0"/>
              <w:bottom w:val="single" w:color="auto" w:sz="2" w:space="0"/>
              <w:right w:val="single" w:color="auto" w:sz="2" w:space="0"/>
            </w:tcBorders>
            <w:vAlign w:val="center"/>
          </w:tcPr>
          <w:p>
            <w:pPr>
              <w:ind w:left="-57" w:right="-57" w:firstLine="0" w:firstLineChars="0"/>
              <w:jc w:val="center"/>
              <w:rPr>
                <w:rFonts w:ascii="宋体" w:hAnsi="宋体" w:eastAsia="宋体"/>
                <w:sz w:val="21"/>
                <w:szCs w:val="21"/>
              </w:rPr>
            </w:pPr>
          </w:p>
        </w:tc>
        <w:tc>
          <w:tcPr>
            <w:tcW w:w="1101" w:type="dxa"/>
            <w:gridSpan w:val="3"/>
            <w:tcBorders>
              <w:top w:val="single" w:color="auto" w:sz="2" w:space="0"/>
              <w:left w:val="single" w:color="auto" w:sz="2" w:space="0"/>
              <w:bottom w:val="single" w:color="auto" w:sz="2" w:space="0"/>
              <w:right w:val="single" w:color="auto" w:sz="2" w:space="0"/>
            </w:tcBorders>
            <w:vAlign w:val="center"/>
          </w:tcPr>
          <w:p>
            <w:pPr>
              <w:ind w:left="-57" w:right="-57" w:firstLine="0" w:firstLineChars="0"/>
              <w:jc w:val="center"/>
              <w:rPr>
                <w:rFonts w:ascii="宋体" w:hAnsi="宋体" w:eastAsia="宋体"/>
                <w:sz w:val="21"/>
                <w:szCs w:val="21"/>
              </w:rPr>
            </w:pPr>
          </w:p>
        </w:tc>
        <w:tc>
          <w:tcPr>
            <w:tcW w:w="2172" w:type="dxa"/>
            <w:gridSpan w:val="2"/>
            <w:tcBorders>
              <w:top w:val="single" w:color="auto" w:sz="2" w:space="0"/>
              <w:left w:val="single" w:color="auto" w:sz="2" w:space="0"/>
              <w:bottom w:val="single" w:color="auto" w:sz="2" w:space="0"/>
              <w:right w:val="single" w:color="auto" w:sz="2" w:space="0"/>
            </w:tcBorders>
            <w:vAlign w:val="center"/>
          </w:tcPr>
          <w:p>
            <w:pPr>
              <w:ind w:left="-57" w:right="-57" w:firstLine="0" w:firstLineChars="0"/>
              <w:jc w:val="center"/>
              <w:rPr>
                <w:rFonts w:ascii="宋体" w:hAnsi="宋体" w:eastAsia="宋体"/>
                <w:sz w:val="21"/>
                <w:szCs w:val="21"/>
              </w:rPr>
            </w:pPr>
          </w:p>
        </w:tc>
        <w:tc>
          <w:tcPr>
            <w:tcW w:w="1134" w:type="dxa"/>
            <w:tcBorders>
              <w:top w:val="single" w:color="auto" w:sz="2" w:space="0"/>
              <w:left w:val="single" w:color="auto" w:sz="2" w:space="0"/>
              <w:bottom w:val="single" w:color="auto" w:sz="2" w:space="0"/>
              <w:right w:val="single" w:color="auto" w:sz="2" w:space="0"/>
            </w:tcBorders>
            <w:vAlign w:val="center"/>
          </w:tcPr>
          <w:p>
            <w:pPr>
              <w:ind w:left="-57" w:right="-57" w:firstLine="0" w:firstLineChars="0"/>
              <w:jc w:val="center"/>
              <w:rPr>
                <w:rFonts w:ascii="宋体" w:hAnsi="宋体" w:eastAsia="宋体"/>
                <w:sz w:val="21"/>
                <w:szCs w:val="21"/>
              </w:rPr>
            </w:pPr>
          </w:p>
        </w:tc>
        <w:tc>
          <w:tcPr>
            <w:tcW w:w="2958" w:type="dxa"/>
            <w:gridSpan w:val="3"/>
            <w:tcBorders>
              <w:top w:val="single" w:color="auto" w:sz="2" w:space="0"/>
              <w:left w:val="single" w:color="auto" w:sz="2" w:space="0"/>
              <w:bottom w:val="single" w:color="auto" w:sz="2" w:space="0"/>
              <w:right w:val="single" w:color="auto" w:sz="12" w:space="0"/>
            </w:tcBorders>
            <w:vAlign w:val="center"/>
          </w:tcPr>
          <w:p>
            <w:pPr>
              <w:ind w:left="-57" w:right="-57"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trPr>
        <w:tc>
          <w:tcPr>
            <w:tcW w:w="1406" w:type="dxa"/>
            <w:tcBorders>
              <w:top w:val="single" w:color="auto" w:sz="2" w:space="0"/>
              <w:left w:val="single" w:color="auto" w:sz="12" w:space="0"/>
              <w:bottom w:val="single" w:color="auto" w:sz="12" w:space="0"/>
              <w:right w:val="single" w:color="auto" w:sz="2" w:space="0"/>
            </w:tcBorders>
            <w:vAlign w:val="center"/>
          </w:tcPr>
          <w:p>
            <w:pPr>
              <w:ind w:firstLine="0" w:firstLineChars="0"/>
              <w:jc w:val="center"/>
              <w:rPr>
                <w:rFonts w:ascii="宋体" w:hAnsi="宋体" w:eastAsia="宋体"/>
                <w:sz w:val="21"/>
                <w:szCs w:val="21"/>
              </w:rPr>
            </w:pPr>
            <w:r>
              <w:rPr>
                <w:rFonts w:hint="eastAsia" w:ascii="宋体" w:hAnsi="宋体" w:eastAsia="宋体"/>
                <w:sz w:val="21"/>
                <w:szCs w:val="21"/>
              </w:rPr>
              <w:t>个人承诺</w:t>
            </w:r>
          </w:p>
        </w:tc>
        <w:tc>
          <w:tcPr>
            <w:tcW w:w="8168" w:type="dxa"/>
            <w:gridSpan w:val="10"/>
            <w:tcBorders>
              <w:top w:val="single" w:color="auto" w:sz="2" w:space="0"/>
              <w:left w:val="single" w:color="auto" w:sz="2" w:space="0"/>
              <w:bottom w:val="single" w:color="auto" w:sz="12" w:space="0"/>
              <w:right w:val="single" w:color="auto" w:sz="12" w:space="0"/>
            </w:tcBorders>
            <w:vAlign w:val="center"/>
          </w:tcPr>
          <w:p>
            <w:pPr>
              <w:ind w:firstLine="0" w:firstLineChars="0"/>
              <w:rPr>
                <w:rFonts w:ascii="宋体" w:hAnsi="宋体" w:eastAsia="宋体"/>
                <w:sz w:val="21"/>
                <w:szCs w:val="21"/>
              </w:rPr>
            </w:pPr>
            <w:r>
              <w:rPr>
                <w:rFonts w:hint="eastAsia" w:ascii="宋体" w:hAnsi="宋体" w:eastAsia="宋体"/>
                <w:sz w:val="21"/>
                <w:szCs w:val="21"/>
              </w:rPr>
              <w:t>我承诺:</w:t>
            </w:r>
          </w:p>
          <w:p>
            <w:pPr>
              <w:ind w:firstLine="420" w:firstLineChars="0"/>
              <w:rPr>
                <w:rFonts w:ascii="宋体" w:hAnsi="宋体" w:eastAsia="宋体"/>
                <w:sz w:val="21"/>
                <w:szCs w:val="21"/>
              </w:rPr>
            </w:pPr>
            <w:r>
              <w:rPr>
                <w:rFonts w:hint="eastAsia" w:ascii="宋体" w:hAnsi="宋体" w:eastAsia="宋体"/>
                <w:sz w:val="21"/>
                <w:szCs w:val="21"/>
              </w:rPr>
              <w:t>我提供的个人情况和资料全部真实无误。</w:t>
            </w:r>
          </w:p>
          <w:p>
            <w:pPr>
              <w:ind w:firstLine="420" w:firstLineChars="0"/>
              <w:rPr>
                <w:rFonts w:ascii="宋体" w:hAnsi="宋体" w:eastAsia="宋体"/>
                <w:sz w:val="21"/>
                <w:szCs w:val="21"/>
              </w:rPr>
            </w:pPr>
            <w:r>
              <w:rPr>
                <w:rFonts w:hint="eastAsia" w:ascii="宋体" w:hAnsi="宋体" w:eastAsia="宋体"/>
                <w:sz w:val="21"/>
                <w:szCs w:val="21"/>
              </w:rPr>
              <w:t>我不符合《职业经理人选拔标准》中列出的任何限制性条件。</w:t>
            </w:r>
          </w:p>
          <w:p>
            <w:pPr>
              <w:ind w:firstLine="0" w:firstLineChars="0"/>
              <w:rPr>
                <w:rFonts w:ascii="宋体" w:hAnsi="宋体" w:eastAsia="宋体"/>
                <w:sz w:val="21"/>
                <w:szCs w:val="21"/>
              </w:rPr>
            </w:pPr>
            <w:r>
              <w:rPr>
                <w:rFonts w:hint="eastAsia" w:ascii="宋体" w:hAnsi="宋体" w:eastAsia="宋体"/>
                <w:sz w:val="21"/>
                <w:szCs w:val="21"/>
              </w:rPr>
              <w:t>　　我本人与报名应聘公司内人员没有夫妻关系、直系血亲关系、三代以内旁系血亲关系以及近姻亲关系；不存在应当回避的其他亲属关系；没有受到纪检、监察部门或司法机关立案调查。</w:t>
            </w:r>
          </w:p>
          <w:p>
            <w:pPr>
              <w:ind w:firstLine="0" w:firstLineChars="0"/>
              <w:rPr>
                <w:rFonts w:ascii="宋体" w:hAnsi="宋体" w:eastAsia="宋体"/>
                <w:sz w:val="21"/>
                <w:szCs w:val="21"/>
              </w:rPr>
            </w:pPr>
            <w:r>
              <w:rPr>
                <w:rFonts w:hint="eastAsia" w:ascii="宋体" w:hAnsi="宋体" w:eastAsia="宋体"/>
                <w:sz w:val="21"/>
                <w:szCs w:val="21"/>
              </w:rPr>
              <w:t>　　如出现上述情况，同意按照有关规定接受处理。　　　　　　　　　　　　　　　　　　</w:t>
            </w:r>
          </w:p>
          <w:p>
            <w:pPr>
              <w:ind w:firstLine="0" w:firstLineChars="0"/>
              <w:jc w:val="left"/>
              <w:rPr>
                <w:rFonts w:ascii="宋体" w:hAnsi="宋体" w:eastAsia="宋体"/>
                <w:sz w:val="21"/>
                <w:szCs w:val="21"/>
              </w:rPr>
            </w:pPr>
            <w:r>
              <w:rPr>
                <w:rFonts w:hint="eastAsia" w:ascii="宋体" w:hAnsi="宋体" w:eastAsia="宋体"/>
                <w:sz w:val="21"/>
                <w:szCs w:val="21"/>
              </w:rPr>
              <w:t>　　　　　　　　　　　　　　　　承诺人（签字）：</w:t>
            </w:r>
          </w:p>
          <w:p>
            <w:pPr>
              <w:ind w:firstLine="5902" w:firstLineChars="2600"/>
              <w:jc w:val="left"/>
              <w:rPr>
                <w:rFonts w:ascii="宋体" w:hAnsi="宋体" w:eastAsia="宋体"/>
                <w:sz w:val="24"/>
              </w:rPr>
            </w:pPr>
            <w:r>
              <w:rPr>
                <w:rFonts w:hint="eastAsia" w:ascii="宋体" w:hAnsi="宋体" w:eastAsia="宋体"/>
                <w:sz w:val="21"/>
                <w:szCs w:val="21"/>
              </w:rPr>
              <w:t>年　 月　　日</w:t>
            </w:r>
          </w:p>
        </w:tc>
      </w:tr>
    </w:tbl>
    <w:p>
      <w:pPr>
        <w:adjustRightInd w:val="0"/>
        <w:snapToGrid w:val="0"/>
        <w:ind w:left="792" w:hanging="788" w:hangingChars="400"/>
        <w:rPr>
          <w:rFonts w:ascii="宋体" w:hAnsi="宋体" w:eastAsia="宋体"/>
          <w:sz w:val="18"/>
          <w:szCs w:val="18"/>
        </w:rPr>
      </w:pPr>
      <w:r>
        <w:rPr>
          <w:rFonts w:hint="eastAsia" w:ascii="宋体" w:hAnsi="宋体" w:eastAsia="宋体"/>
          <w:sz w:val="18"/>
          <w:szCs w:val="18"/>
        </w:rPr>
        <w:t>备注：</w:t>
      </w:r>
      <w:r>
        <w:rPr>
          <w:rFonts w:ascii="宋体" w:hAnsi="宋体" w:eastAsia="宋体"/>
          <w:sz w:val="18"/>
          <w:szCs w:val="18"/>
        </w:rPr>
        <w:t>1.</w:t>
      </w:r>
      <w:r>
        <w:rPr>
          <w:rFonts w:hint="eastAsia" w:ascii="宋体" w:hAnsi="宋体" w:eastAsia="宋体"/>
          <w:sz w:val="18"/>
          <w:szCs w:val="18"/>
        </w:rPr>
        <w:t>“工作经历</w:t>
      </w:r>
      <w:r>
        <w:rPr>
          <w:rFonts w:ascii="宋体" w:hAnsi="宋体" w:eastAsia="宋体"/>
          <w:sz w:val="18"/>
          <w:szCs w:val="18"/>
        </w:rPr>
        <w:t>”</w:t>
      </w:r>
      <w:r>
        <w:rPr>
          <w:rFonts w:hint="eastAsia" w:ascii="宋体" w:hAnsi="宋体" w:eastAsia="宋体"/>
          <w:sz w:val="18"/>
          <w:szCs w:val="18"/>
        </w:rPr>
        <w:t>从院校学习时填起。起止时间填到月，前后要衔接，不得空断（因病休学、休养、待分配等都要如实填写），职务以单位正式发文批准任免的时间为准；</w:t>
      </w:r>
    </w:p>
    <w:p>
      <w:pPr>
        <w:adjustRightInd w:val="0"/>
        <w:snapToGrid w:val="0"/>
        <w:ind w:left="1137" w:leftChars="250" w:hanging="295" w:hangingChars="150"/>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w:t>
      </w:r>
      <w:r>
        <w:rPr>
          <w:rFonts w:hint="eastAsia" w:ascii="宋体" w:hAnsi="宋体" w:eastAsia="宋体"/>
          <w:sz w:val="18"/>
          <w:szCs w:val="18"/>
        </w:rPr>
        <w:t>“主要业绩</w:t>
      </w:r>
      <w:r>
        <w:rPr>
          <w:rFonts w:ascii="宋体" w:hAnsi="宋体" w:eastAsia="宋体"/>
          <w:sz w:val="18"/>
          <w:szCs w:val="18"/>
        </w:rPr>
        <w:t>”</w:t>
      </w:r>
      <w:r>
        <w:rPr>
          <w:rFonts w:hint="eastAsia" w:ascii="宋体" w:hAnsi="宋体" w:eastAsia="宋体"/>
          <w:sz w:val="18"/>
          <w:szCs w:val="18"/>
        </w:rPr>
        <w:t>请从“干过什么、干成什么”两方面书写，以写实为主；</w:t>
      </w:r>
    </w:p>
    <w:p>
      <w:pPr>
        <w:adjustRightInd w:val="0"/>
        <w:snapToGrid w:val="0"/>
        <w:ind w:left="1182" w:leftChars="250" w:hanging="340" w:hangingChars="150"/>
        <w:rPr>
          <w:rFonts w:ascii="宋体" w:hAnsi="宋体" w:eastAsia="宋体"/>
          <w:sz w:val="18"/>
          <w:szCs w:val="18"/>
        </w:rPr>
      </w:pPr>
      <w:r>
        <w:rPr>
          <w:rFonts w:hint="eastAsia" w:ascii="宋体" w:hAnsi="宋体" w:eastAsia="宋体"/>
          <w:sz w:val="21"/>
          <w:szCs w:val="21"/>
        </w:rPr>
        <mc:AlternateContent>
          <mc:Choice Requires="wps">
            <w:drawing>
              <wp:anchor distT="0" distB="0" distL="114300" distR="114300" simplePos="0" relativeHeight="251663360" behindDoc="0" locked="0" layoutInCell="1" allowOverlap="1">
                <wp:simplePos x="0" y="0"/>
                <wp:positionH relativeFrom="margin">
                  <wp:posOffset>492125</wp:posOffset>
                </wp:positionH>
                <wp:positionV relativeFrom="paragraph">
                  <wp:posOffset>333375</wp:posOffset>
                </wp:positionV>
                <wp:extent cx="4888865" cy="977900"/>
                <wp:effectExtent l="33655" t="10795" r="43180" b="65405"/>
                <wp:wrapNone/>
                <wp:docPr id="1" name="矩形 1"/>
                <wp:cNvGraphicFramePr/>
                <a:graphic xmlns:a="http://schemas.openxmlformats.org/drawingml/2006/main">
                  <a:graphicData uri="http://schemas.microsoft.com/office/word/2010/wordprocessingShape">
                    <wps:wsp>
                      <wps:cNvSpPr/>
                      <wps:spPr>
                        <a:xfrm>
                          <a:off x="0" y="0"/>
                          <a:ext cx="4888561" cy="977955"/>
                        </a:xfrm>
                        <a:prstGeom prst="rect">
                          <a:avLst/>
                        </a:prstGeom>
                        <a:solidFill>
                          <a:srgbClr val="4F81BD">
                            <a:lumMod val="20000"/>
                            <a:lumOff val="80000"/>
                          </a:srgbClr>
                        </a:solidFill>
                        <a:ln w="9525" cap="flat" cmpd="sng" algn="ctr">
                          <a:noFill/>
                          <a:prstDash val="solid"/>
                          <a:miter lim="800000"/>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txbx>
                        <w:txbxContent>
                          <w:p>
                            <w:pPr>
                              <w:ind w:firstLine="0" w:firstLineChars="0"/>
                              <w:jc w:val="center"/>
                              <w:rPr>
                                <w:rFonts w:ascii="微软雅黑" w:hAnsi="微软雅黑" w:eastAsia="微软雅黑"/>
                                <w:color w:val="0000FF"/>
                                <w:sz w:val="24"/>
                                <w:szCs w:val="28"/>
                              </w:rPr>
                            </w:pPr>
                            <w:r>
                              <w:rPr>
                                <w:rFonts w:hint="eastAsia" w:ascii="微软雅黑" w:hAnsi="微软雅黑" w:eastAsia="微软雅黑"/>
                                <w:color w:val="0000FF"/>
                                <w:sz w:val="24"/>
                                <w:szCs w:val="28"/>
                              </w:rPr>
                              <w:t>本表请发送word</w:t>
                            </w:r>
                            <w:r>
                              <w:rPr>
                                <w:rFonts w:ascii="微软雅黑" w:hAnsi="微软雅黑" w:eastAsia="微软雅黑"/>
                                <w:color w:val="0000FF"/>
                                <w:sz w:val="24"/>
                                <w:szCs w:val="28"/>
                              </w:rPr>
                              <w:t>原始表</w:t>
                            </w:r>
                            <w:r>
                              <w:rPr>
                                <w:rFonts w:hint="eastAsia" w:ascii="微软雅黑" w:hAnsi="微软雅黑" w:eastAsia="微软雅黑"/>
                                <w:color w:val="0000FF"/>
                                <w:sz w:val="24"/>
                                <w:szCs w:val="28"/>
                              </w:rPr>
                              <w:t>和本人签字扫描的PDF</w:t>
                            </w:r>
                            <w:r>
                              <w:rPr>
                                <w:rFonts w:ascii="微软雅黑" w:hAnsi="微软雅黑" w:eastAsia="微软雅黑"/>
                                <w:color w:val="0000FF"/>
                                <w:sz w:val="24"/>
                                <w:szCs w:val="28"/>
                              </w:rPr>
                              <w:t>扫描件</w:t>
                            </w:r>
                            <w:r>
                              <w:rPr>
                                <w:rFonts w:hint="eastAsia" w:ascii="微软雅黑" w:hAnsi="微软雅黑" w:eastAsia="微软雅黑"/>
                                <w:color w:val="0000FF"/>
                                <w:sz w:val="24"/>
                                <w:szCs w:val="28"/>
                              </w:rPr>
                              <w:t>两套材料，提示性文字请在提交时务必删除。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75pt;margin-top:26.25pt;height:77pt;width:384.95pt;mso-position-horizontal-relative:margin;z-index:251663360;v-text-anchor:middle;mso-width-relative:page;mso-height-relative:page;" fillcolor="#DCE6F2" filled="t" stroked="f" coordsize="21600,21600" o:gfxdata="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hVEW4tkAAAAJAQAADwAAAAAAAAAB&#10;ACAAAAAiAAAAZHJzL2Rvd25yZXYueG1sUEsBAhQAFAAAAAgAh07iQPlcpOq6AgAAbAUAAA4AAAAA&#10;AAAAAQAgAAAAKAEAAGRycy9lMm9Eb2MueG1sUEsFBgAAAAAGAAYAWQEAAFQGAAAAAA==&#10;">
                <v:fill on="t" focussize="0,0"/>
                <v:stroke on="f" miterlimit="8" joinstyle="miter"/>
                <v:imagedata o:title=""/>
                <o:lock v:ext="edit" aspectratio="f"/>
                <v:shadow on="t" color="#000000" opacity="22937f" offset="0pt,1.81102362204724pt" origin="0f,32768f" matrix="65536f,0f,0f,65536f"/>
                <v:textbox>
                  <w:txbxContent>
                    <w:p>
                      <w:pPr>
                        <w:ind w:firstLine="0" w:firstLineChars="0"/>
                        <w:jc w:val="center"/>
                        <w:rPr>
                          <w:rFonts w:ascii="微软雅黑" w:hAnsi="微软雅黑" w:eastAsia="微软雅黑"/>
                          <w:color w:val="0000FF"/>
                          <w:sz w:val="24"/>
                          <w:szCs w:val="28"/>
                        </w:rPr>
                      </w:pPr>
                      <w:r>
                        <w:rPr>
                          <w:rFonts w:hint="eastAsia" w:ascii="微软雅黑" w:hAnsi="微软雅黑" w:eastAsia="微软雅黑"/>
                          <w:color w:val="0000FF"/>
                          <w:sz w:val="24"/>
                          <w:szCs w:val="28"/>
                        </w:rPr>
                        <w:t>本表请发送word</w:t>
                      </w:r>
                      <w:r>
                        <w:rPr>
                          <w:rFonts w:ascii="微软雅黑" w:hAnsi="微软雅黑" w:eastAsia="微软雅黑"/>
                          <w:color w:val="0000FF"/>
                          <w:sz w:val="24"/>
                          <w:szCs w:val="28"/>
                        </w:rPr>
                        <w:t>原始表</w:t>
                      </w:r>
                      <w:r>
                        <w:rPr>
                          <w:rFonts w:hint="eastAsia" w:ascii="微软雅黑" w:hAnsi="微软雅黑" w:eastAsia="微软雅黑"/>
                          <w:color w:val="0000FF"/>
                          <w:sz w:val="24"/>
                          <w:szCs w:val="28"/>
                        </w:rPr>
                        <w:t>和本人签字扫描的PDF</w:t>
                      </w:r>
                      <w:r>
                        <w:rPr>
                          <w:rFonts w:ascii="微软雅黑" w:hAnsi="微软雅黑" w:eastAsia="微软雅黑"/>
                          <w:color w:val="0000FF"/>
                          <w:sz w:val="24"/>
                          <w:szCs w:val="28"/>
                        </w:rPr>
                        <w:t>扫描件</w:t>
                      </w:r>
                      <w:r>
                        <w:rPr>
                          <w:rFonts w:hint="eastAsia" w:ascii="微软雅黑" w:hAnsi="微软雅黑" w:eastAsia="微软雅黑"/>
                          <w:color w:val="0000FF"/>
                          <w:sz w:val="24"/>
                          <w:szCs w:val="28"/>
                        </w:rPr>
                        <w:t>两套材料，提示性文字请在提交时务必删除。</w:t>
                      </w:r>
                    </w:p>
                  </w:txbxContent>
                </v:textbox>
              </v:rect>
            </w:pict>
          </mc:Fallback>
        </mc:AlternateContent>
      </w:r>
      <w:r>
        <w:rPr>
          <w:rFonts w:hint="eastAsia" w:ascii="宋体" w:hAnsi="宋体" w:eastAsia="宋体"/>
          <w:sz w:val="18"/>
          <w:szCs w:val="18"/>
        </w:rPr>
        <w:t>3</w:t>
      </w:r>
      <w:r>
        <w:rPr>
          <w:rFonts w:ascii="宋体" w:hAnsi="宋体" w:eastAsia="宋体"/>
          <w:sz w:val="18"/>
          <w:szCs w:val="18"/>
        </w:rPr>
        <w:t>.</w:t>
      </w:r>
      <w:r>
        <w:rPr>
          <w:rFonts w:hint="eastAsia" w:ascii="宋体" w:hAnsi="宋体" w:eastAsia="宋体"/>
          <w:sz w:val="18"/>
          <w:szCs w:val="18"/>
        </w:rPr>
        <w:t>需在“照片”栏内附上近期1寸标准照。</w:t>
      </w:r>
    </w:p>
    <w:p>
      <w:pPr>
        <w:spacing w:after="120"/>
        <w:ind w:firstLine="456"/>
        <w:rPr>
          <w:rFonts w:ascii="Calibri" w:hAnsi="Calibri" w:eastAsia="宋体"/>
          <w:sz w:val="21"/>
        </w:rPr>
      </w:pPr>
    </w:p>
    <w:p>
      <w:pPr>
        <w:ind w:firstLine="676"/>
      </w:pPr>
    </w:p>
    <w:p>
      <w:pPr>
        <w:ind w:firstLine="676"/>
        <w:sectPr>
          <w:pgSz w:w="11906" w:h="16838"/>
          <w:pgMar w:top="1440" w:right="1800" w:bottom="1440" w:left="1800" w:header="0" w:footer="851" w:gutter="0"/>
          <w:pgNumType w:fmt="numberInDash"/>
          <w:cols w:space="0" w:num="1"/>
          <w:docGrid w:type="linesAndChars" w:linePitch="610" w:charSpace="3686"/>
        </w:sectPr>
      </w:pPr>
    </w:p>
    <w:p>
      <w:pPr>
        <w:adjustRightInd w:val="0"/>
        <w:snapToGrid w:val="0"/>
        <w:spacing w:after="305" w:afterLines="50" w:line="560" w:lineRule="exact"/>
        <w:ind w:firstLine="0" w:firstLineChars="0"/>
        <w:rPr>
          <w:rFonts w:eastAsia="黑体"/>
          <w:bCs/>
          <w:szCs w:val="32"/>
          <w:lang w:bidi="en-US"/>
        </w:rPr>
      </w:pPr>
      <w:r>
        <w:rPr>
          <w:rFonts w:hint="eastAsia" w:eastAsia="黑体"/>
          <w:bCs/>
          <w:szCs w:val="32"/>
          <w:lang w:bidi="en-US"/>
        </w:rPr>
        <w:t>附件6</w:t>
      </w:r>
    </w:p>
    <w:p>
      <w:pPr>
        <w:adjustRightInd w:val="0"/>
        <w:snapToGrid w:val="0"/>
        <w:spacing w:line="440" w:lineRule="exact"/>
        <w:ind w:firstLine="0" w:firstLineChars="0"/>
        <w:jc w:val="center"/>
        <w:rPr>
          <w:rFonts w:ascii="华文中宋" w:hAnsi="华文中宋" w:eastAsia="华文中宋"/>
          <w:b/>
          <w:bCs/>
          <w:sz w:val="36"/>
          <w:szCs w:val="36"/>
        </w:rPr>
      </w:pPr>
      <w:r>
        <w:rPr>
          <w:rFonts w:hint="eastAsia" w:ascii="华文中宋" w:hAnsi="华文中宋" w:eastAsia="华文中宋"/>
          <w:b/>
          <w:bCs/>
          <w:sz w:val="36"/>
          <w:szCs w:val="36"/>
        </w:rPr>
        <w:t>辽宁交投艾特斯技术股份有限公司子企业市场化选聘职业经理人报名一览表</w:t>
      </w:r>
    </w:p>
    <w:tbl>
      <w:tblPr>
        <w:tblStyle w:val="22"/>
        <w:tblpPr w:leftFromText="180" w:rightFromText="180" w:vertAnchor="text" w:horzAnchor="page" w:tblpX="239" w:tblpY="413"/>
        <w:tblOverlap w:val="never"/>
        <w:tblW w:w="16367" w:type="dxa"/>
        <w:tblInd w:w="0" w:type="dxa"/>
        <w:tblLayout w:type="fixed"/>
        <w:tblCellMar>
          <w:top w:w="0" w:type="dxa"/>
          <w:left w:w="0" w:type="dxa"/>
          <w:bottom w:w="0" w:type="dxa"/>
          <w:right w:w="0" w:type="dxa"/>
        </w:tblCellMar>
      </w:tblPr>
      <w:tblGrid>
        <w:gridCol w:w="654"/>
        <w:gridCol w:w="654"/>
        <w:gridCol w:w="654"/>
        <w:gridCol w:w="654"/>
        <w:gridCol w:w="654"/>
        <w:gridCol w:w="654"/>
        <w:gridCol w:w="654"/>
        <w:gridCol w:w="1322"/>
        <w:gridCol w:w="772"/>
        <w:gridCol w:w="555"/>
        <w:gridCol w:w="555"/>
        <w:gridCol w:w="555"/>
        <w:gridCol w:w="555"/>
        <w:gridCol w:w="11"/>
        <w:gridCol w:w="544"/>
        <w:gridCol w:w="555"/>
        <w:gridCol w:w="555"/>
        <w:gridCol w:w="561"/>
        <w:gridCol w:w="654"/>
        <w:gridCol w:w="900"/>
        <w:gridCol w:w="537"/>
        <w:gridCol w:w="698"/>
        <w:gridCol w:w="700"/>
        <w:gridCol w:w="517"/>
        <w:gridCol w:w="572"/>
        <w:gridCol w:w="671"/>
      </w:tblGrid>
      <w:tr>
        <w:tblPrEx>
          <w:tblCellMar>
            <w:top w:w="0" w:type="dxa"/>
            <w:left w:w="0" w:type="dxa"/>
            <w:bottom w:w="0" w:type="dxa"/>
            <w:right w:w="0" w:type="dxa"/>
          </w:tblCellMar>
        </w:tblPrEx>
        <w:trPr>
          <w:trHeight w:val="615"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应聘公司</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应聘岗位</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姓名</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性别</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出生日期/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年龄</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参加工作时间</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政治面貌</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现工作单位及职务</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任职</w:t>
            </w:r>
          </w:p>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时间</w:t>
            </w:r>
          </w:p>
        </w:tc>
        <w:tc>
          <w:tcPr>
            <w:tcW w:w="22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76"/>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第一学历</w:t>
            </w: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76"/>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最高学历</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专业技术职务/职称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注册</w:t>
            </w:r>
          </w:p>
          <w:p>
            <w:pPr>
              <w:widowControl/>
              <w:ind w:firstLine="0" w:firstLineChars="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(执业)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资格</w:t>
            </w:r>
          </w:p>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证书</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行业经验</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任职经历</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管理经验</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手</w:t>
            </w:r>
          </w:p>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电子邮箱</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tblPrEx>
          <w:tblCellMar>
            <w:top w:w="0" w:type="dxa"/>
            <w:left w:w="0" w:type="dxa"/>
            <w:bottom w:w="0" w:type="dxa"/>
            <w:right w:w="0" w:type="dxa"/>
          </w:tblCellMar>
        </w:tblPrEx>
        <w:trPr>
          <w:trHeight w:val="61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8"/>
              <w:jc w:val="center"/>
              <w:rPr>
                <w:rFonts w:ascii="仿宋" w:hAnsi="仿宋" w:eastAsia="仿宋" w:cs="仿宋"/>
                <w:b/>
                <w:bCs/>
                <w:color w:val="000000"/>
                <w:sz w:val="22"/>
                <w:szCs w:val="22"/>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8"/>
              <w:jc w:val="center"/>
              <w:rPr>
                <w:rFonts w:ascii="仿宋" w:hAnsi="仿宋" w:eastAsia="仿宋" w:cs="仿宋"/>
                <w:b/>
                <w:bCs/>
                <w:color w:val="000000"/>
                <w:sz w:val="22"/>
                <w:szCs w:val="22"/>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8"/>
              <w:jc w:val="center"/>
              <w:rPr>
                <w:rFonts w:ascii="仿宋" w:hAnsi="仿宋" w:eastAsia="仿宋" w:cs="仿宋"/>
                <w:b/>
                <w:bCs/>
                <w:color w:val="000000"/>
                <w:sz w:val="22"/>
                <w:szCs w:val="22"/>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8"/>
              <w:jc w:val="center"/>
              <w:rPr>
                <w:rFonts w:ascii="仿宋" w:hAnsi="仿宋" w:eastAsia="仿宋" w:cs="仿宋"/>
                <w:b/>
                <w:bCs/>
                <w:color w:val="000000"/>
                <w:sz w:val="22"/>
                <w:szCs w:val="22"/>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8"/>
              <w:jc w:val="center"/>
              <w:rPr>
                <w:rFonts w:ascii="仿宋" w:hAnsi="仿宋" w:eastAsia="仿宋" w:cs="仿宋"/>
                <w:b/>
                <w:bCs/>
                <w:color w:val="000000"/>
                <w:sz w:val="22"/>
                <w:szCs w:val="22"/>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8"/>
              <w:jc w:val="center"/>
              <w:rPr>
                <w:rFonts w:ascii="仿宋" w:hAnsi="仿宋" w:eastAsia="仿宋" w:cs="仿宋"/>
                <w:b/>
                <w:bCs/>
                <w:color w:val="000000"/>
                <w:sz w:val="22"/>
                <w:szCs w:val="22"/>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8"/>
              <w:jc w:val="center"/>
              <w:rPr>
                <w:rFonts w:ascii="仿宋" w:hAnsi="仿宋" w:eastAsia="仿宋" w:cs="仿宋"/>
                <w:b/>
                <w:bCs/>
                <w:color w:val="000000"/>
                <w:sz w:val="22"/>
                <w:szCs w:val="22"/>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8"/>
              <w:jc w:val="center"/>
              <w:rPr>
                <w:rFonts w:ascii="仿宋" w:hAnsi="仿宋" w:eastAsia="仿宋" w:cs="仿宋"/>
                <w:b/>
                <w:bCs/>
                <w:color w:val="000000"/>
                <w:sz w:val="22"/>
                <w:szCs w:val="22"/>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8"/>
              <w:jc w:val="center"/>
              <w:rPr>
                <w:rFonts w:ascii="仿宋" w:hAnsi="仿宋" w:eastAsia="仿宋" w:cs="仿宋"/>
                <w:b/>
                <w:bCs/>
                <w:color w:val="000000"/>
                <w:sz w:val="22"/>
                <w:szCs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学历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专业</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学习时间</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专业</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学习时间</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8"/>
              <w:jc w:val="center"/>
              <w:rPr>
                <w:rFonts w:ascii="仿宋" w:hAnsi="仿宋" w:eastAsia="仿宋" w:cs="仿宋"/>
                <w:b/>
                <w:bCs/>
                <w:color w:val="000000"/>
                <w:sz w:val="22"/>
                <w:szCs w:val="22"/>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8"/>
              <w:jc w:val="center"/>
              <w:rPr>
                <w:rFonts w:ascii="仿宋" w:hAnsi="仿宋" w:eastAsia="仿宋" w:cs="仿宋"/>
                <w:b/>
                <w:bCs/>
                <w:color w:val="000000"/>
                <w:sz w:val="22"/>
                <w:szCs w:val="22"/>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8"/>
              <w:jc w:val="center"/>
              <w:rPr>
                <w:rFonts w:ascii="仿宋" w:hAnsi="仿宋" w:eastAsia="仿宋" w:cs="仿宋"/>
                <w:b/>
                <w:bCs/>
                <w:color w:val="000000"/>
                <w:sz w:val="22"/>
                <w:szCs w:val="22"/>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8"/>
              <w:jc w:val="center"/>
              <w:rPr>
                <w:rFonts w:ascii="仿宋" w:hAnsi="仿宋" w:eastAsia="仿宋" w:cs="仿宋"/>
                <w:b/>
                <w:bCs/>
                <w:color w:val="000000"/>
                <w:sz w:val="22"/>
                <w:szCs w:val="22"/>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8"/>
              <w:jc w:val="center"/>
              <w:rPr>
                <w:rFonts w:ascii="仿宋" w:hAnsi="仿宋" w:eastAsia="仿宋" w:cs="仿宋"/>
                <w:b/>
                <w:bCs/>
                <w:color w:val="000000"/>
                <w:sz w:val="22"/>
                <w:szCs w:val="22"/>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8"/>
              <w:jc w:val="center"/>
              <w:rPr>
                <w:rFonts w:ascii="仿宋" w:hAnsi="仿宋" w:eastAsia="仿宋" w:cs="仿宋"/>
                <w:b/>
                <w:bCs/>
                <w:color w:val="000000"/>
                <w:sz w:val="22"/>
                <w:szCs w:val="22"/>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8"/>
              <w:jc w:val="center"/>
              <w:rPr>
                <w:rFonts w:ascii="仿宋" w:hAnsi="仿宋" w:eastAsia="仿宋" w:cs="仿宋"/>
                <w:b/>
                <w:bCs/>
                <w:color w:val="000000"/>
                <w:sz w:val="22"/>
                <w:szCs w:val="22"/>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8"/>
              <w:jc w:val="center"/>
              <w:rPr>
                <w:rFonts w:ascii="仿宋" w:hAnsi="仿宋" w:eastAsia="仿宋" w:cs="仿宋"/>
                <w:b/>
                <w:bCs/>
                <w:color w:val="000000"/>
                <w:sz w:val="22"/>
                <w:szCs w:val="22"/>
              </w:rPr>
            </w:pPr>
          </w:p>
        </w:tc>
      </w:tr>
      <w:tr>
        <w:tblPrEx>
          <w:tblCellMar>
            <w:top w:w="0" w:type="dxa"/>
            <w:left w:w="0" w:type="dxa"/>
            <w:bottom w:w="0" w:type="dxa"/>
            <w:right w:w="0" w:type="dxa"/>
          </w:tblCellMar>
        </w:tblPrEx>
        <w:trPr>
          <w:trHeight w:val="1425"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FF"/>
                <w:sz w:val="22"/>
                <w:szCs w:val="22"/>
              </w:rPr>
            </w:pPr>
            <w:r>
              <w:rPr>
                <w:rFonts w:hint="eastAsia" w:ascii="宋体" w:hAnsi="宋体" w:eastAsia="宋体" w:cs="宋体"/>
                <w:color w:val="0000FF"/>
                <w:kern w:val="0"/>
                <w:sz w:val="22"/>
                <w:szCs w:val="22"/>
                <w:lang w:bidi="ar"/>
              </w:rPr>
              <w:t>信息公司/雄安公司</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FF"/>
                <w:sz w:val="22"/>
                <w:szCs w:val="22"/>
              </w:rPr>
            </w:pPr>
            <w:r>
              <w:rPr>
                <w:rFonts w:hint="eastAsia" w:ascii="宋体" w:hAnsi="宋体" w:eastAsia="宋体" w:cs="宋体"/>
                <w:color w:val="0000FF"/>
                <w:kern w:val="0"/>
                <w:sz w:val="22"/>
                <w:szCs w:val="22"/>
                <w:lang w:bidi="ar"/>
              </w:rPr>
              <w:t>岗位名称</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eastAsia="宋体" w:cs="宋体"/>
                <w:color w:val="0000FF"/>
                <w:sz w:val="22"/>
                <w:szCs w:val="22"/>
              </w:rPr>
            </w:pPr>
            <w:r>
              <w:rPr>
                <w:rFonts w:hint="eastAsia" w:ascii="宋体" w:hAnsi="宋体" w:eastAsia="宋体" w:cs="宋体"/>
                <w:color w:val="0000FF"/>
                <w:kern w:val="0"/>
                <w:sz w:val="22"/>
                <w:szCs w:val="22"/>
                <w:lang w:bidi="ar"/>
              </w:rPr>
              <w:t>xxx</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6"/>
              <w:jc w:val="center"/>
              <w:rPr>
                <w:rFonts w:ascii="宋体" w:hAnsi="宋体" w:eastAsia="宋体" w:cs="宋体"/>
                <w:color w:val="0000FF"/>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FF"/>
                <w:sz w:val="22"/>
                <w:szCs w:val="22"/>
              </w:rPr>
            </w:pPr>
            <w:r>
              <w:rPr>
                <w:rFonts w:hint="eastAsia" w:ascii="宋体" w:hAnsi="宋体" w:eastAsia="宋体" w:cs="宋体"/>
                <w:color w:val="0000FF"/>
                <w:kern w:val="0"/>
                <w:sz w:val="22"/>
                <w:szCs w:val="22"/>
                <w:lang w:bidi="ar"/>
              </w:rPr>
              <w:t>1995.03.24</w:t>
            </w:r>
            <w:r>
              <w:rPr>
                <w:rFonts w:hint="eastAsia" w:ascii="宋体" w:hAnsi="宋体" w:eastAsia="宋体" w:cs="宋体"/>
                <w:color w:val="0000FF"/>
                <w:kern w:val="0"/>
                <w:sz w:val="22"/>
                <w:szCs w:val="22"/>
                <w:lang w:bidi="ar"/>
              </w:rPr>
              <w:br w:type="textWrapping"/>
            </w:r>
            <w:r>
              <w:rPr>
                <w:rFonts w:hint="eastAsia" w:ascii="宋体" w:hAnsi="宋体" w:eastAsia="宋体" w:cs="宋体"/>
                <w:color w:val="0000FF"/>
                <w:kern w:val="0"/>
                <w:sz w:val="22"/>
                <w:szCs w:val="22"/>
                <w:lang w:bidi="ar"/>
              </w:rPr>
              <w:t>(XX岁)</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FF"/>
                <w:sz w:val="22"/>
                <w:szCs w:val="22"/>
              </w:rPr>
            </w:pPr>
            <w:r>
              <w:rPr>
                <w:rFonts w:hint="eastAsia" w:ascii="宋体" w:hAnsi="宋体" w:eastAsia="宋体" w:cs="宋体"/>
                <w:color w:val="0000FF"/>
                <w:kern w:val="0"/>
                <w:sz w:val="22"/>
                <w:szCs w:val="22"/>
                <w:lang w:bidi="ar"/>
              </w:rPr>
              <w:t>2006.09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eastAsia="宋体" w:cs="宋体"/>
                <w:color w:val="0000FF"/>
                <w:sz w:val="22"/>
                <w:szCs w:val="22"/>
              </w:rPr>
            </w:pPr>
            <w:r>
              <w:rPr>
                <w:rFonts w:hint="eastAsia" w:ascii="宋体" w:hAnsi="宋体" w:eastAsia="宋体" w:cs="宋体"/>
                <w:color w:val="0000FF"/>
                <w:sz w:val="22"/>
                <w:szCs w:val="22"/>
              </w:rPr>
              <w:t>中共党员/群众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FF"/>
                <w:sz w:val="22"/>
                <w:szCs w:val="22"/>
              </w:rPr>
            </w:pPr>
            <w:r>
              <w:rPr>
                <w:rFonts w:hint="eastAsia" w:ascii="宋体" w:hAnsi="宋体" w:eastAsia="宋体" w:cs="宋体"/>
                <w:color w:val="0000FF"/>
                <w:kern w:val="0"/>
                <w:sz w:val="22"/>
                <w:szCs w:val="22"/>
                <w:lang w:bidi="ar"/>
              </w:rPr>
              <w:t>XXXX公司XX部门XX岗位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FF"/>
                <w:sz w:val="22"/>
                <w:szCs w:val="22"/>
              </w:rPr>
            </w:pPr>
            <w:r>
              <w:rPr>
                <w:rFonts w:hint="eastAsia" w:ascii="宋体" w:hAnsi="宋体" w:eastAsia="宋体" w:cs="宋体"/>
                <w:color w:val="0000FF"/>
                <w:kern w:val="0"/>
                <w:sz w:val="22"/>
                <w:szCs w:val="22"/>
                <w:lang w:bidi="ar"/>
              </w:rPr>
              <w:t>2018.04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FF"/>
                <w:sz w:val="22"/>
                <w:szCs w:val="22"/>
              </w:rPr>
            </w:pPr>
            <w:r>
              <w:rPr>
                <w:rFonts w:hint="eastAsia" w:ascii="宋体" w:hAnsi="宋体" w:eastAsia="宋体" w:cs="宋体"/>
                <w:color w:val="0000FF"/>
                <w:kern w:val="0"/>
                <w:sz w:val="22"/>
                <w:szCs w:val="22"/>
                <w:lang w:bidi="ar"/>
              </w:rPr>
              <w:t>请填写本/专科学历学位</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6"/>
              <w:jc w:val="center"/>
              <w:rPr>
                <w:rFonts w:ascii="宋体" w:hAnsi="宋体" w:eastAsia="宋体" w:cs="宋体"/>
                <w:color w:val="0000FF"/>
                <w:sz w:val="22"/>
                <w:szCs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FF"/>
                <w:sz w:val="22"/>
                <w:szCs w:val="22"/>
              </w:rPr>
            </w:pPr>
            <w:r>
              <w:rPr>
                <w:rFonts w:hint="eastAsia" w:ascii="宋体" w:hAnsi="宋体" w:eastAsia="宋体" w:cs="宋体"/>
                <w:color w:val="0000FF"/>
                <w:kern w:val="0"/>
                <w:sz w:val="22"/>
                <w:szCs w:val="22"/>
                <w:lang w:bidi="ar"/>
              </w:rPr>
              <w:t>双学位的请注明第一学位</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FF"/>
                <w:sz w:val="22"/>
                <w:szCs w:val="22"/>
              </w:rPr>
            </w:pPr>
            <w:r>
              <w:rPr>
                <w:rFonts w:hint="eastAsia" w:ascii="宋体" w:hAnsi="宋体" w:eastAsia="宋体" w:cs="宋体"/>
                <w:color w:val="0000FF"/>
                <w:kern w:val="0"/>
                <w:sz w:val="22"/>
                <w:szCs w:val="22"/>
                <w:lang w:bidi="ar"/>
              </w:rPr>
              <w:t>2011.9-2015.6</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FF"/>
                <w:sz w:val="22"/>
                <w:szCs w:val="22"/>
              </w:rPr>
            </w:pPr>
            <w:r>
              <w:rPr>
                <w:rFonts w:hint="eastAsia" w:ascii="宋体" w:hAnsi="宋体" w:eastAsia="宋体" w:cs="宋体"/>
                <w:color w:val="0000FF"/>
                <w:kern w:val="0"/>
                <w:sz w:val="22"/>
                <w:szCs w:val="22"/>
                <w:lang w:bidi="ar"/>
              </w:rPr>
              <w:t>存在多个同等级最高学历的，请填写多个</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6"/>
              <w:jc w:val="center"/>
              <w:rPr>
                <w:rFonts w:ascii="宋体" w:hAnsi="宋体" w:eastAsia="宋体" w:cs="宋体"/>
                <w:color w:val="00B0F0"/>
                <w:sz w:val="22"/>
                <w:szCs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6"/>
              <w:jc w:val="center"/>
              <w:rPr>
                <w:rFonts w:ascii="宋体" w:hAnsi="宋体" w:eastAsia="宋体" w:cs="宋体"/>
                <w:color w:val="00B0F0"/>
                <w:sz w:val="22"/>
                <w:szCs w:val="22"/>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6"/>
              <w:jc w:val="center"/>
              <w:rPr>
                <w:rFonts w:ascii="宋体" w:hAnsi="宋体" w:eastAsia="宋体" w:cs="宋体"/>
                <w:color w:val="00B0F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6"/>
              <w:jc w:val="center"/>
              <w:rPr>
                <w:rFonts w:ascii="宋体" w:hAnsi="宋体" w:eastAsia="宋体" w:cs="宋体"/>
                <w:color w:val="00B0F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6"/>
              <w:jc w:val="center"/>
              <w:rPr>
                <w:rFonts w:ascii="宋体" w:hAnsi="宋体" w:eastAsia="宋体" w:cs="宋体"/>
                <w:color w:val="00B0F0"/>
                <w:sz w:val="22"/>
                <w:szCs w:val="22"/>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FF"/>
                <w:kern w:val="0"/>
                <w:sz w:val="22"/>
                <w:szCs w:val="22"/>
                <w:lang w:bidi="ar"/>
              </w:rPr>
            </w:pPr>
            <w:r>
              <w:rPr>
                <w:rFonts w:hint="eastAsia" w:ascii="宋体" w:hAnsi="宋体" w:eastAsia="宋体" w:cs="宋体"/>
                <w:color w:val="0000FF"/>
                <w:kern w:val="0"/>
                <w:sz w:val="22"/>
                <w:szCs w:val="22"/>
                <w:lang w:bidi="ar"/>
              </w:rPr>
              <w:t>XX年</w:t>
            </w:r>
          </w:p>
          <w:p>
            <w:pPr>
              <w:widowControl/>
              <w:ind w:firstLine="0" w:firstLineChars="0"/>
              <w:jc w:val="center"/>
              <w:textAlignment w:val="center"/>
              <w:rPr>
                <w:rFonts w:ascii="宋体" w:hAnsi="宋体" w:eastAsia="宋体" w:cs="宋体"/>
                <w:color w:val="0000FF"/>
                <w:sz w:val="22"/>
                <w:szCs w:val="22"/>
              </w:rPr>
            </w:pPr>
            <w:r>
              <w:rPr>
                <w:rFonts w:hint="eastAsia" w:ascii="宋体" w:hAnsi="宋体" w:eastAsia="宋体" w:cs="宋体"/>
                <w:color w:val="0000FF"/>
                <w:kern w:val="0"/>
                <w:sz w:val="22"/>
                <w:szCs w:val="22"/>
                <w:lang w:bidi="ar"/>
              </w:rPr>
              <w:t>以上XX行业从业经验</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FF"/>
                <w:sz w:val="22"/>
                <w:szCs w:val="22"/>
              </w:rPr>
            </w:pPr>
            <w:r>
              <w:rPr>
                <w:rFonts w:hint="eastAsia" w:ascii="宋体" w:hAnsi="宋体" w:eastAsia="宋体" w:cs="宋体"/>
                <w:color w:val="0000FF"/>
                <w:kern w:val="0"/>
                <w:sz w:val="22"/>
                <w:szCs w:val="22"/>
                <w:lang w:bidi="ar"/>
              </w:rPr>
              <w:t>具有XX规模XX类型企业XX年任职经历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FF"/>
                <w:sz w:val="22"/>
                <w:szCs w:val="22"/>
              </w:rPr>
            </w:pPr>
            <w:r>
              <w:rPr>
                <w:rFonts w:hint="eastAsia" w:ascii="宋体" w:hAnsi="宋体" w:eastAsia="宋体" w:cs="宋体"/>
                <w:color w:val="0000FF"/>
                <w:kern w:val="0"/>
                <w:sz w:val="22"/>
                <w:szCs w:val="22"/>
                <w:lang w:bidi="ar"/>
              </w:rPr>
              <w:t>XX年中层管理经验；XX年高管管理经验</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6"/>
              <w:jc w:val="center"/>
              <w:rPr>
                <w:rFonts w:ascii="宋体" w:hAnsi="宋体" w:eastAsia="宋体" w:cs="宋体"/>
                <w:color w:val="00B0F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6"/>
              <w:jc w:val="center"/>
              <w:rPr>
                <w:rFonts w:ascii="宋体" w:hAnsi="宋体" w:eastAsia="宋体" w:cs="宋体"/>
                <w:color w:val="00B0F0"/>
                <w:sz w:val="22"/>
                <w:szCs w:val="22"/>
                <w:u w:val="singl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76"/>
              <w:jc w:val="center"/>
              <w:rPr>
                <w:rFonts w:ascii="宋体" w:hAnsi="宋体" w:eastAsia="宋体" w:cs="宋体"/>
                <w:color w:val="00B0F0"/>
                <w:sz w:val="22"/>
                <w:szCs w:val="22"/>
              </w:rPr>
            </w:pPr>
          </w:p>
        </w:tc>
      </w:tr>
      <w:tr>
        <w:tblPrEx>
          <w:tblCellMar>
            <w:top w:w="0" w:type="dxa"/>
            <w:left w:w="0" w:type="dxa"/>
            <w:bottom w:w="0" w:type="dxa"/>
            <w:right w:w="0" w:type="dxa"/>
          </w:tblCellMar>
        </w:tblPrEx>
        <w:trPr>
          <w:trHeight w:val="1684" w:hRule="atLeast"/>
        </w:trPr>
        <w:tc>
          <w:tcPr>
            <w:tcW w:w="1636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76"/>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注：1.所有表格格式为“文本”，应聘单个岗位的仅填写一行，应聘两个岗位的需填写两行；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2.出生日期精确到日，其他日期只写年月；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3.手机和邮箱必须留本人联络方式，因联系方式错误造成的问题由本人负责；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4.岗位名称与报名表必须严格一致，如不一致报名作废。</w:t>
            </w:r>
          </w:p>
        </w:tc>
      </w:tr>
    </w:tbl>
    <w:p>
      <w:pPr>
        <w:ind w:firstLine="0" w:firstLineChars="0"/>
      </w:pPr>
    </w:p>
    <w:sectPr>
      <w:pgSz w:w="16838" w:h="11906" w:orient="landscape"/>
      <w:pgMar w:top="1800" w:right="1440" w:bottom="1800" w:left="1440" w:header="0" w:footer="851" w:gutter="0"/>
      <w:pgNumType w:fmt="numberInDash"/>
      <w:cols w:space="0" w:num="1"/>
      <w:docGrid w:type="linesAndChars" w:linePitch="610"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ind w:firstLine="0" w:firstLineChars="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zcia9rgEAAEsD&#10;AAAOAAAAAAAAAAEAIAAAAB4BAABkcnMvZTJvRG9jLnhtbFBLBQYAAAAABgAGAFkBAAA+BQAAAAA=&#10;">
              <v:fill on="f" focussize="0,0"/>
              <v:stroke on="f"/>
              <v:imagedata o:title=""/>
              <o:lock v:ext="edit" aspectratio="f"/>
              <v:textbox inset="0mm,0mm,0mm,0mm" style="mso-fit-shape-to-text:t;">
                <w:txbxContent>
                  <w:p>
                    <w:pPr>
                      <w:pStyle w:val="14"/>
                      <w:ind w:firstLine="0" w:firstLineChars="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02952354"/>
                          </w:sdtPr>
                          <w:sdtContent>
                            <w:p>
                              <w:pPr>
                                <w:pStyle w:val="14"/>
                                <w:ind w:firstLine="360"/>
                                <w:jc w:val="right"/>
                              </w:pPr>
                            </w:p>
                          </w:sdtContent>
                        </w:sdt>
                        <w:p>
                          <w:pPr>
                            <w:ind w:firstLine="640"/>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dzJYK8BAABLAwAADgAAAGRycy9lMm9Eb2MueG1srVNLbtswEN0H6B0I&#10;7mvKLhA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lDhucUT7l+f9j9f9zydykdvTB6gx6z5gXhq++AHHPPoBnVn1oKLNX9RD&#10;MI6N3p2aK4dERH40n83nFYYExsYL4rP35yFC+iq9JdloaMTplaby7Q2kQ+qYkqs5f62NKRM07jcH&#10;YmYPy9wPHLOVhtVwFLTy7Q719Dj4hjrcTErMN4d9zTsyGnE0VqOxCVGvO6Q2LbwgfN4kJFG45QoH&#10;2GNhnFhRd9yuvBK/3kvW+z+wf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5dzJYK8BAABL&#10;AwAADgAAAAAAAAABACAAAAAeAQAAZHJzL2Uyb0RvYy54bWxQSwUGAAAAAAYABgBZAQAAPwUAAAAA&#10;">
              <v:fill on="f" focussize="0,0"/>
              <v:stroke on="f"/>
              <v:imagedata o:title=""/>
              <o:lock v:ext="edit" aspectratio="f"/>
              <v:textbox inset="0mm,0mm,0mm,0mm" style="mso-fit-shape-to-text:t;">
                <w:txbxContent>
                  <w:sdt>
                    <w:sdtPr>
                      <w:id w:val="-102952354"/>
                    </w:sdtPr>
                    <w:sdtContent>
                      <w:p>
                        <w:pPr>
                          <w:pStyle w:val="14"/>
                          <w:ind w:firstLine="360"/>
                          <w:jc w:val="right"/>
                        </w:pPr>
                      </w:p>
                    </w:sdtContent>
                  </w:sdt>
                  <w:p>
                    <w:pPr>
                      <w:ind w:firstLine="640"/>
                    </w:pPr>
                  </w:p>
                </w:txbxContent>
              </v:textbox>
            </v:shape>
          </w:pict>
        </mc:Fallback>
      </mc:AlternateContent>
    </w:r>
  </w:p>
  <w:p>
    <w:pPr>
      <w:pStyle w:val="14"/>
      <w:ind w:firstLine="560"/>
      <w:jc w:val="right"/>
      <w:rPr>
        <w:rFonts w:ascii="宋体" w:hAnsi="宋体" w:eastAsia="宋体" w:cs="宋体"/>
        <w:sz w:val="28"/>
        <w:szCs w:val="28"/>
      </w:rPr>
    </w:pPr>
  </w:p>
  <w:p>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3325E"/>
    <w:multiLevelType w:val="singleLevel"/>
    <w:tmpl w:val="93E3325E"/>
    <w:lvl w:ilvl="0" w:tentative="0">
      <w:start w:val="1"/>
      <w:numFmt w:val="chineseCounting"/>
      <w:suff w:val="nothing"/>
      <w:lvlText w:val="%1、"/>
      <w:lvlJc w:val="left"/>
      <w:rPr>
        <w:rFonts w:hint="eastAsia"/>
      </w:rPr>
    </w:lvl>
  </w:abstractNum>
  <w:abstractNum w:abstractNumId="1">
    <w:nsid w:val="23BE5C2F"/>
    <w:multiLevelType w:val="multilevel"/>
    <w:tmpl w:val="23BE5C2F"/>
    <w:lvl w:ilvl="0" w:tentative="0">
      <w:start w:val="1"/>
      <w:numFmt w:val="chineseCountingThousand"/>
      <w:pStyle w:val="52"/>
      <w:suff w:val="space"/>
      <w:lvlText w:val="第%1条"/>
      <w:lvlJc w:val="left"/>
      <w:pPr>
        <w:ind w:left="988" w:hanging="420"/>
      </w:pPr>
      <w:rPr>
        <w:rFonts w:hint="eastAsia" w:ascii="仿宋" w:hAnsi="仿宋" w:eastAsia="仿宋"/>
        <w:b/>
        <w:i w:val="0"/>
        <w:color w:val="auto"/>
        <w:sz w:val="32"/>
        <w:szCs w:val="32"/>
        <w:lang w:val="en-US"/>
      </w:r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69"/>
  <w:drawingGridVerticalSpacing w:val="305"/>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ZjU3YzhlNmZhNTk5ODllNWJmN2QyMWVjNzA4NzEifQ=="/>
  </w:docVars>
  <w:rsids>
    <w:rsidRoot w:val="00A17D99"/>
    <w:rsid w:val="00000AB3"/>
    <w:rsid w:val="00001131"/>
    <w:rsid w:val="000013AF"/>
    <w:rsid w:val="00001B8F"/>
    <w:rsid w:val="00001DD6"/>
    <w:rsid w:val="000029E1"/>
    <w:rsid w:val="000031B5"/>
    <w:rsid w:val="0000553F"/>
    <w:rsid w:val="00006403"/>
    <w:rsid w:val="00007438"/>
    <w:rsid w:val="0001088B"/>
    <w:rsid w:val="00010B68"/>
    <w:rsid w:val="00010FFB"/>
    <w:rsid w:val="000114D1"/>
    <w:rsid w:val="00011565"/>
    <w:rsid w:val="0001172E"/>
    <w:rsid w:val="000119FE"/>
    <w:rsid w:val="0001209E"/>
    <w:rsid w:val="00012198"/>
    <w:rsid w:val="00012B59"/>
    <w:rsid w:val="0001316B"/>
    <w:rsid w:val="00013DEB"/>
    <w:rsid w:val="00013E3E"/>
    <w:rsid w:val="00014044"/>
    <w:rsid w:val="000149A6"/>
    <w:rsid w:val="00016F88"/>
    <w:rsid w:val="00017324"/>
    <w:rsid w:val="000177E5"/>
    <w:rsid w:val="00017B01"/>
    <w:rsid w:val="0002310A"/>
    <w:rsid w:val="00023400"/>
    <w:rsid w:val="00026220"/>
    <w:rsid w:val="00030FC3"/>
    <w:rsid w:val="000312CE"/>
    <w:rsid w:val="000326D2"/>
    <w:rsid w:val="0003441C"/>
    <w:rsid w:val="00034B5D"/>
    <w:rsid w:val="00034D30"/>
    <w:rsid w:val="00034E7D"/>
    <w:rsid w:val="00035E8E"/>
    <w:rsid w:val="00037A79"/>
    <w:rsid w:val="000410AA"/>
    <w:rsid w:val="00041BD5"/>
    <w:rsid w:val="00042A50"/>
    <w:rsid w:val="000465FF"/>
    <w:rsid w:val="00047926"/>
    <w:rsid w:val="00050B13"/>
    <w:rsid w:val="00051A90"/>
    <w:rsid w:val="00051CFC"/>
    <w:rsid w:val="00051E78"/>
    <w:rsid w:val="0005460D"/>
    <w:rsid w:val="00054F73"/>
    <w:rsid w:val="000551C9"/>
    <w:rsid w:val="00062243"/>
    <w:rsid w:val="0006225E"/>
    <w:rsid w:val="000624B9"/>
    <w:rsid w:val="00063126"/>
    <w:rsid w:val="00064F29"/>
    <w:rsid w:val="00065665"/>
    <w:rsid w:val="00065934"/>
    <w:rsid w:val="000663CC"/>
    <w:rsid w:val="00066B48"/>
    <w:rsid w:val="000672C2"/>
    <w:rsid w:val="00067B11"/>
    <w:rsid w:val="00070D0D"/>
    <w:rsid w:val="00071403"/>
    <w:rsid w:val="000722B9"/>
    <w:rsid w:val="000724D3"/>
    <w:rsid w:val="00075005"/>
    <w:rsid w:val="00084790"/>
    <w:rsid w:val="00085D06"/>
    <w:rsid w:val="00085D83"/>
    <w:rsid w:val="000875C7"/>
    <w:rsid w:val="00087EE8"/>
    <w:rsid w:val="000949D9"/>
    <w:rsid w:val="00094CA8"/>
    <w:rsid w:val="000952A7"/>
    <w:rsid w:val="00095941"/>
    <w:rsid w:val="00095A1C"/>
    <w:rsid w:val="0009680D"/>
    <w:rsid w:val="00096CB2"/>
    <w:rsid w:val="00097301"/>
    <w:rsid w:val="0009762B"/>
    <w:rsid w:val="00097CF1"/>
    <w:rsid w:val="000A0DE8"/>
    <w:rsid w:val="000A13E6"/>
    <w:rsid w:val="000A38FA"/>
    <w:rsid w:val="000A3968"/>
    <w:rsid w:val="000A50BB"/>
    <w:rsid w:val="000A5908"/>
    <w:rsid w:val="000A72D6"/>
    <w:rsid w:val="000B0C68"/>
    <w:rsid w:val="000B14B8"/>
    <w:rsid w:val="000B14DF"/>
    <w:rsid w:val="000B17B1"/>
    <w:rsid w:val="000B4058"/>
    <w:rsid w:val="000B449F"/>
    <w:rsid w:val="000B6F10"/>
    <w:rsid w:val="000C08F6"/>
    <w:rsid w:val="000C48C2"/>
    <w:rsid w:val="000C64B7"/>
    <w:rsid w:val="000D118D"/>
    <w:rsid w:val="000D1DC1"/>
    <w:rsid w:val="000D2553"/>
    <w:rsid w:val="000D2BAB"/>
    <w:rsid w:val="000D3566"/>
    <w:rsid w:val="000D4FA1"/>
    <w:rsid w:val="000D4FF6"/>
    <w:rsid w:val="000D50D0"/>
    <w:rsid w:val="000D6E1A"/>
    <w:rsid w:val="000E101D"/>
    <w:rsid w:val="000E2685"/>
    <w:rsid w:val="000E2C4C"/>
    <w:rsid w:val="000E41B9"/>
    <w:rsid w:val="000E4CEE"/>
    <w:rsid w:val="000E5F32"/>
    <w:rsid w:val="000E66A9"/>
    <w:rsid w:val="000E6809"/>
    <w:rsid w:val="000E6A6C"/>
    <w:rsid w:val="000F0F4F"/>
    <w:rsid w:val="000F13B0"/>
    <w:rsid w:val="000F3680"/>
    <w:rsid w:val="000F3F82"/>
    <w:rsid w:val="000F404D"/>
    <w:rsid w:val="000F4427"/>
    <w:rsid w:val="000F4FBE"/>
    <w:rsid w:val="000F51F1"/>
    <w:rsid w:val="000F540A"/>
    <w:rsid w:val="000F5592"/>
    <w:rsid w:val="000F62B5"/>
    <w:rsid w:val="000F7A9F"/>
    <w:rsid w:val="00100880"/>
    <w:rsid w:val="00100C4E"/>
    <w:rsid w:val="00100E55"/>
    <w:rsid w:val="00102CF4"/>
    <w:rsid w:val="00103300"/>
    <w:rsid w:val="001047C9"/>
    <w:rsid w:val="00104813"/>
    <w:rsid w:val="001056B0"/>
    <w:rsid w:val="0010619F"/>
    <w:rsid w:val="00106D4C"/>
    <w:rsid w:val="00106DA5"/>
    <w:rsid w:val="00107003"/>
    <w:rsid w:val="00110303"/>
    <w:rsid w:val="00110917"/>
    <w:rsid w:val="00110B97"/>
    <w:rsid w:val="00111862"/>
    <w:rsid w:val="00111AB4"/>
    <w:rsid w:val="001123AF"/>
    <w:rsid w:val="001127A6"/>
    <w:rsid w:val="001134F7"/>
    <w:rsid w:val="00114A14"/>
    <w:rsid w:val="00114DBC"/>
    <w:rsid w:val="00114EB8"/>
    <w:rsid w:val="00114F00"/>
    <w:rsid w:val="001159A3"/>
    <w:rsid w:val="00116D18"/>
    <w:rsid w:val="00120AC7"/>
    <w:rsid w:val="00121D5D"/>
    <w:rsid w:val="00122469"/>
    <w:rsid w:val="0012287B"/>
    <w:rsid w:val="00123722"/>
    <w:rsid w:val="00123F66"/>
    <w:rsid w:val="00125E77"/>
    <w:rsid w:val="00126760"/>
    <w:rsid w:val="00127526"/>
    <w:rsid w:val="0012789B"/>
    <w:rsid w:val="00127C87"/>
    <w:rsid w:val="00127D62"/>
    <w:rsid w:val="00127F0D"/>
    <w:rsid w:val="001301BC"/>
    <w:rsid w:val="0013034B"/>
    <w:rsid w:val="001305A3"/>
    <w:rsid w:val="00130D4E"/>
    <w:rsid w:val="00131061"/>
    <w:rsid w:val="001311FB"/>
    <w:rsid w:val="00132323"/>
    <w:rsid w:val="00132C0E"/>
    <w:rsid w:val="00133D6B"/>
    <w:rsid w:val="00134C6A"/>
    <w:rsid w:val="00134FA5"/>
    <w:rsid w:val="00137512"/>
    <w:rsid w:val="001405E7"/>
    <w:rsid w:val="00140998"/>
    <w:rsid w:val="00140E69"/>
    <w:rsid w:val="00142177"/>
    <w:rsid w:val="00142C88"/>
    <w:rsid w:val="00143437"/>
    <w:rsid w:val="00145304"/>
    <w:rsid w:val="001453D2"/>
    <w:rsid w:val="0014632B"/>
    <w:rsid w:val="00147104"/>
    <w:rsid w:val="00150CC8"/>
    <w:rsid w:val="001525CA"/>
    <w:rsid w:val="0015534C"/>
    <w:rsid w:val="00156C77"/>
    <w:rsid w:val="001570F2"/>
    <w:rsid w:val="00157969"/>
    <w:rsid w:val="00157A43"/>
    <w:rsid w:val="001603BD"/>
    <w:rsid w:val="001609CA"/>
    <w:rsid w:val="00160BB5"/>
    <w:rsid w:val="00160D43"/>
    <w:rsid w:val="00161736"/>
    <w:rsid w:val="00161B7F"/>
    <w:rsid w:val="00161DE7"/>
    <w:rsid w:val="00163B53"/>
    <w:rsid w:val="001640EA"/>
    <w:rsid w:val="001659E2"/>
    <w:rsid w:val="00165CA8"/>
    <w:rsid w:val="00165F9A"/>
    <w:rsid w:val="00166013"/>
    <w:rsid w:val="00166B55"/>
    <w:rsid w:val="001674CA"/>
    <w:rsid w:val="0016758A"/>
    <w:rsid w:val="001676CF"/>
    <w:rsid w:val="00170768"/>
    <w:rsid w:val="00171B9C"/>
    <w:rsid w:val="001727EB"/>
    <w:rsid w:val="00172B2A"/>
    <w:rsid w:val="00173E2B"/>
    <w:rsid w:val="00173FE9"/>
    <w:rsid w:val="0017504C"/>
    <w:rsid w:val="00175AAB"/>
    <w:rsid w:val="001764A0"/>
    <w:rsid w:val="00177EB5"/>
    <w:rsid w:val="001804C5"/>
    <w:rsid w:val="00180F7D"/>
    <w:rsid w:val="0018264B"/>
    <w:rsid w:val="00183345"/>
    <w:rsid w:val="00184D00"/>
    <w:rsid w:val="00184E2E"/>
    <w:rsid w:val="001868BF"/>
    <w:rsid w:val="00186E4C"/>
    <w:rsid w:val="0018715C"/>
    <w:rsid w:val="00187C72"/>
    <w:rsid w:val="00190875"/>
    <w:rsid w:val="00190D40"/>
    <w:rsid w:val="00191055"/>
    <w:rsid w:val="0019113F"/>
    <w:rsid w:val="00191239"/>
    <w:rsid w:val="0019138D"/>
    <w:rsid w:val="00191A83"/>
    <w:rsid w:val="00192541"/>
    <w:rsid w:val="001933CE"/>
    <w:rsid w:val="001937E8"/>
    <w:rsid w:val="00193AEB"/>
    <w:rsid w:val="0019513C"/>
    <w:rsid w:val="00195932"/>
    <w:rsid w:val="001969DB"/>
    <w:rsid w:val="001A01DC"/>
    <w:rsid w:val="001A20E8"/>
    <w:rsid w:val="001A2865"/>
    <w:rsid w:val="001A2F82"/>
    <w:rsid w:val="001A476A"/>
    <w:rsid w:val="001B1F3F"/>
    <w:rsid w:val="001B3812"/>
    <w:rsid w:val="001B4625"/>
    <w:rsid w:val="001B5C82"/>
    <w:rsid w:val="001B6472"/>
    <w:rsid w:val="001B733C"/>
    <w:rsid w:val="001B7DC2"/>
    <w:rsid w:val="001C05BC"/>
    <w:rsid w:val="001C0F89"/>
    <w:rsid w:val="001C1222"/>
    <w:rsid w:val="001C153B"/>
    <w:rsid w:val="001C1BEA"/>
    <w:rsid w:val="001C1C7F"/>
    <w:rsid w:val="001C40EB"/>
    <w:rsid w:val="001C4EF0"/>
    <w:rsid w:val="001D15F9"/>
    <w:rsid w:val="001D4B62"/>
    <w:rsid w:val="001D50FA"/>
    <w:rsid w:val="001D53AC"/>
    <w:rsid w:val="001D69EE"/>
    <w:rsid w:val="001E011C"/>
    <w:rsid w:val="001E0A8F"/>
    <w:rsid w:val="001E1370"/>
    <w:rsid w:val="001E266D"/>
    <w:rsid w:val="001E4D0F"/>
    <w:rsid w:val="001E50A6"/>
    <w:rsid w:val="001E7239"/>
    <w:rsid w:val="001E7A01"/>
    <w:rsid w:val="001E7A2E"/>
    <w:rsid w:val="001F0B20"/>
    <w:rsid w:val="001F1835"/>
    <w:rsid w:val="001F1BF0"/>
    <w:rsid w:val="001F20B2"/>
    <w:rsid w:val="001F24A1"/>
    <w:rsid w:val="001F4D40"/>
    <w:rsid w:val="001F4FF9"/>
    <w:rsid w:val="001F62DE"/>
    <w:rsid w:val="001F6A44"/>
    <w:rsid w:val="001F7D2A"/>
    <w:rsid w:val="002007A2"/>
    <w:rsid w:val="002009FA"/>
    <w:rsid w:val="002024D9"/>
    <w:rsid w:val="002041A7"/>
    <w:rsid w:val="00204225"/>
    <w:rsid w:val="002049C7"/>
    <w:rsid w:val="00205568"/>
    <w:rsid w:val="00206024"/>
    <w:rsid w:val="002064BF"/>
    <w:rsid w:val="0021052B"/>
    <w:rsid w:val="00210E33"/>
    <w:rsid w:val="00211474"/>
    <w:rsid w:val="00211ABB"/>
    <w:rsid w:val="00211BE7"/>
    <w:rsid w:val="00211F84"/>
    <w:rsid w:val="00213E83"/>
    <w:rsid w:val="00216B38"/>
    <w:rsid w:val="00216BC4"/>
    <w:rsid w:val="002208FC"/>
    <w:rsid w:val="00221B3C"/>
    <w:rsid w:val="00222206"/>
    <w:rsid w:val="002239D7"/>
    <w:rsid w:val="0022400B"/>
    <w:rsid w:val="002244C8"/>
    <w:rsid w:val="00224BCE"/>
    <w:rsid w:val="00226ED2"/>
    <w:rsid w:val="00231301"/>
    <w:rsid w:val="00233179"/>
    <w:rsid w:val="00233BA1"/>
    <w:rsid w:val="0023753E"/>
    <w:rsid w:val="00237873"/>
    <w:rsid w:val="0024029D"/>
    <w:rsid w:val="00240EF5"/>
    <w:rsid w:val="002436C8"/>
    <w:rsid w:val="00243787"/>
    <w:rsid w:val="002454BF"/>
    <w:rsid w:val="00246523"/>
    <w:rsid w:val="002471AA"/>
    <w:rsid w:val="0024749C"/>
    <w:rsid w:val="00252849"/>
    <w:rsid w:val="00252B6A"/>
    <w:rsid w:val="00252CFE"/>
    <w:rsid w:val="00253246"/>
    <w:rsid w:val="00253248"/>
    <w:rsid w:val="0025422D"/>
    <w:rsid w:val="00256184"/>
    <w:rsid w:val="002569FB"/>
    <w:rsid w:val="00260050"/>
    <w:rsid w:val="00260FE0"/>
    <w:rsid w:val="0026209F"/>
    <w:rsid w:val="002637BD"/>
    <w:rsid w:val="00263995"/>
    <w:rsid w:val="00264706"/>
    <w:rsid w:val="00264BAF"/>
    <w:rsid w:val="00270255"/>
    <w:rsid w:val="0027091A"/>
    <w:rsid w:val="0027121C"/>
    <w:rsid w:val="002724F5"/>
    <w:rsid w:val="002736A5"/>
    <w:rsid w:val="002748CD"/>
    <w:rsid w:val="0027497D"/>
    <w:rsid w:val="0027571A"/>
    <w:rsid w:val="00276841"/>
    <w:rsid w:val="002769F9"/>
    <w:rsid w:val="00280ADB"/>
    <w:rsid w:val="00280E26"/>
    <w:rsid w:val="00281177"/>
    <w:rsid w:val="00281C70"/>
    <w:rsid w:val="00281EDB"/>
    <w:rsid w:val="0028333D"/>
    <w:rsid w:val="0028345F"/>
    <w:rsid w:val="00284239"/>
    <w:rsid w:val="0028523D"/>
    <w:rsid w:val="00285893"/>
    <w:rsid w:val="00285EA3"/>
    <w:rsid w:val="002863C3"/>
    <w:rsid w:val="00286E59"/>
    <w:rsid w:val="00287096"/>
    <w:rsid w:val="002902E1"/>
    <w:rsid w:val="002904FA"/>
    <w:rsid w:val="00293E22"/>
    <w:rsid w:val="00294B95"/>
    <w:rsid w:val="0029554B"/>
    <w:rsid w:val="0029598D"/>
    <w:rsid w:val="00295C4F"/>
    <w:rsid w:val="002964DB"/>
    <w:rsid w:val="00296D80"/>
    <w:rsid w:val="00297AAE"/>
    <w:rsid w:val="002A0D27"/>
    <w:rsid w:val="002A1E4A"/>
    <w:rsid w:val="002A20BD"/>
    <w:rsid w:val="002A2A8F"/>
    <w:rsid w:val="002A39B5"/>
    <w:rsid w:val="002A3BC3"/>
    <w:rsid w:val="002A4980"/>
    <w:rsid w:val="002A5414"/>
    <w:rsid w:val="002A682D"/>
    <w:rsid w:val="002B0269"/>
    <w:rsid w:val="002B0420"/>
    <w:rsid w:val="002B09A7"/>
    <w:rsid w:val="002B13FF"/>
    <w:rsid w:val="002B1DF7"/>
    <w:rsid w:val="002B26C6"/>
    <w:rsid w:val="002B3154"/>
    <w:rsid w:val="002B3DB0"/>
    <w:rsid w:val="002B6DDC"/>
    <w:rsid w:val="002B70B3"/>
    <w:rsid w:val="002C09FC"/>
    <w:rsid w:val="002C0C5E"/>
    <w:rsid w:val="002C1223"/>
    <w:rsid w:val="002C1DC0"/>
    <w:rsid w:val="002C1F06"/>
    <w:rsid w:val="002C560D"/>
    <w:rsid w:val="002C5B5B"/>
    <w:rsid w:val="002C742F"/>
    <w:rsid w:val="002D1229"/>
    <w:rsid w:val="002D2F82"/>
    <w:rsid w:val="002D316C"/>
    <w:rsid w:val="002D3221"/>
    <w:rsid w:val="002D469C"/>
    <w:rsid w:val="002D4BBE"/>
    <w:rsid w:val="002D5046"/>
    <w:rsid w:val="002D526D"/>
    <w:rsid w:val="002D6F16"/>
    <w:rsid w:val="002E04CA"/>
    <w:rsid w:val="002E1ED0"/>
    <w:rsid w:val="002E2B18"/>
    <w:rsid w:val="002E3520"/>
    <w:rsid w:val="002E3562"/>
    <w:rsid w:val="002E3982"/>
    <w:rsid w:val="002E4070"/>
    <w:rsid w:val="002E4274"/>
    <w:rsid w:val="002E4CBA"/>
    <w:rsid w:val="002E6593"/>
    <w:rsid w:val="002E6C6D"/>
    <w:rsid w:val="002E6EC3"/>
    <w:rsid w:val="002E76A3"/>
    <w:rsid w:val="002F2903"/>
    <w:rsid w:val="002F411C"/>
    <w:rsid w:val="002F5CAE"/>
    <w:rsid w:val="002F79B9"/>
    <w:rsid w:val="00300384"/>
    <w:rsid w:val="003005A7"/>
    <w:rsid w:val="00303008"/>
    <w:rsid w:val="00306106"/>
    <w:rsid w:val="00306287"/>
    <w:rsid w:val="00307308"/>
    <w:rsid w:val="0031068F"/>
    <w:rsid w:val="00311490"/>
    <w:rsid w:val="00311743"/>
    <w:rsid w:val="003143D0"/>
    <w:rsid w:val="00315082"/>
    <w:rsid w:val="003158F0"/>
    <w:rsid w:val="003168A0"/>
    <w:rsid w:val="003170FC"/>
    <w:rsid w:val="00321B57"/>
    <w:rsid w:val="003223CA"/>
    <w:rsid w:val="00322DE7"/>
    <w:rsid w:val="00323F90"/>
    <w:rsid w:val="00325078"/>
    <w:rsid w:val="0032512F"/>
    <w:rsid w:val="00326D01"/>
    <w:rsid w:val="003270EC"/>
    <w:rsid w:val="00330BDF"/>
    <w:rsid w:val="00330D5E"/>
    <w:rsid w:val="0033141F"/>
    <w:rsid w:val="0033246F"/>
    <w:rsid w:val="00333216"/>
    <w:rsid w:val="00333234"/>
    <w:rsid w:val="0033464B"/>
    <w:rsid w:val="00334925"/>
    <w:rsid w:val="00334EC0"/>
    <w:rsid w:val="00334F5C"/>
    <w:rsid w:val="00336EF2"/>
    <w:rsid w:val="00340EE3"/>
    <w:rsid w:val="003420AA"/>
    <w:rsid w:val="00342642"/>
    <w:rsid w:val="003444E8"/>
    <w:rsid w:val="00344559"/>
    <w:rsid w:val="0034495B"/>
    <w:rsid w:val="00344D4A"/>
    <w:rsid w:val="00344E53"/>
    <w:rsid w:val="00345C4A"/>
    <w:rsid w:val="0034675C"/>
    <w:rsid w:val="003508D4"/>
    <w:rsid w:val="003516F6"/>
    <w:rsid w:val="003526D4"/>
    <w:rsid w:val="003528F5"/>
    <w:rsid w:val="00353C5B"/>
    <w:rsid w:val="00353F6E"/>
    <w:rsid w:val="00354657"/>
    <w:rsid w:val="00355A35"/>
    <w:rsid w:val="00355DDD"/>
    <w:rsid w:val="00356A46"/>
    <w:rsid w:val="00356AB9"/>
    <w:rsid w:val="00356C91"/>
    <w:rsid w:val="0036019A"/>
    <w:rsid w:val="003601A6"/>
    <w:rsid w:val="003604E4"/>
    <w:rsid w:val="003605BC"/>
    <w:rsid w:val="003609C7"/>
    <w:rsid w:val="003614CD"/>
    <w:rsid w:val="003617E8"/>
    <w:rsid w:val="003619E4"/>
    <w:rsid w:val="0036248F"/>
    <w:rsid w:val="00362515"/>
    <w:rsid w:val="00362949"/>
    <w:rsid w:val="0036583B"/>
    <w:rsid w:val="00367797"/>
    <w:rsid w:val="00370E66"/>
    <w:rsid w:val="00373827"/>
    <w:rsid w:val="003759F5"/>
    <w:rsid w:val="0038078C"/>
    <w:rsid w:val="00382A2E"/>
    <w:rsid w:val="003833A5"/>
    <w:rsid w:val="0038373D"/>
    <w:rsid w:val="00383A21"/>
    <w:rsid w:val="00383B74"/>
    <w:rsid w:val="003843BA"/>
    <w:rsid w:val="0038600E"/>
    <w:rsid w:val="00386C0D"/>
    <w:rsid w:val="00387AD3"/>
    <w:rsid w:val="003903FF"/>
    <w:rsid w:val="00390766"/>
    <w:rsid w:val="00390A4B"/>
    <w:rsid w:val="00394045"/>
    <w:rsid w:val="00394A5D"/>
    <w:rsid w:val="00395D96"/>
    <w:rsid w:val="003962BF"/>
    <w:rsid w:val="00397099"/>
    <w:rsid w:val="00397527"/>
    <w:rsid w:val="003A116D"/>
    <w:rsid w:val="003A2BA5"/>
    <w:rsid w:val="003A2DE4"/>
    <w:rsid w:val="003A4232"/>
    <w:rsid w:val="003A44FF"/>
    <w:rsid w:val="003A5E08"/>
    <w:rsid w:val="003A669F"/>
    <w:rsid w:val="003A735E"/>
    <w:rsid w:val="003B0519"/>
    <w:rsid w:val="003B0C1D"/>
    <w:rsid w:val="003B3EAE"/>
    <w:rsid w:val="003B7612"/>
    <w:rsid w:val="003C0693"/>
    <w:rsid w:val="003C21C7"/>
    <w:rsid w:val="003C2ED9"/>
    <w:rsid w:val="003C3935"/>
    <w:rsid w:val="003C4D8D"/>
    <w:rsid w:val="003C62AA"/>
    <w:rsid w:val="003C6E47"/>
    <w:rsid w:val="003C762E"/>
    <w:rsid w:val="003D12F9"/>
    <w:rsid w:val="003D13AB"/>
    <w:rsid w:val="003D16CF"/>
    <w:rsid w:val="003D1D13"/>
    <w:rsid w:val="003D3EC7"/>
    <w:rsid w:val="003D46AE"/>
    <w:rsid w:val="003D4EAC"/>
    <w:rsid w:val="003D4ECC"/>
    <w:rsid w:val="003D54E6"/>
    <w:rsid w:val="003D5666"/>
    <w:rsid w:val="003D59CF"/>
    <w:rsid w:val="003D7A98"/>
    <w:rsid w:val="003E06C9"/>
    <w:rsid w:val="003E07C7"/>
    <w:rsid w:val="003E0822"/>
    <w:rsid w:val="003E2197"/>
    <w:rsid w:val="003E401D"/>
    <w:rsid w:val="003E46ED"/>
    <w:rsid w:val="003E5202"/>
    <w:rsid w:val="003E636E"/>
    <w:rsid w:val="003E777D"/>
    <w:rsid w:val="003E7F0F"/>
    <w:rsid w:val="003F008D"/>
    <w:rsid w:val="003F06FE"/>
    <w:rsid w:val="003F117D"/>
    <w:rsid w:val="003F15D5"/>
    <w:rsid w:val="003F21F6"/>
    <w:rsid w:val="003F28CD"/>
    <w:rsid w:val="003F382A"/>
    <w:rsid w:val="003F38BF"/>
    <w:rsid w:val="003F3B08"/>
    <w:rsid w:val="003F4755"/>
    <w:rsid w:val="003F5C66"/>
    <w:rsid w:val="003F6B59"/>
    <w:rsid w:val="004016C8"/>
    <w:rsid w:val="00401D77"/>
    <w:rsid w:val="004023F5"/>
    <w:rsid w:val="004029BA"/>
    <w:rsid w:val="00402F42"/>
    <w:rsid w:val="00403E67"/>
    <w:rsid w:val="00405A13"/>
    <w:rsid w:val="00405C00"/>
    <w:rsid w:val="004063B2"/>
    <w:rsid w:val="00406452"/>
    <w:rsid w:val="004069E3"/>
    <w:rsid w:val="0041060F"/>
    <w:rsid w:val="004123EA"/>
    <w:rsid w:val="00412428"/>
    <w:rsid w:val="004129A4"/>
    <w:rsid w:val="004158D4"/>
    <w:rsid w:val="00416005"/>
    <w:rsid w:val="004163C4"/>
    <w:rsid w:val="0041766D"/>
    <w:rsid w:val="00417E30"/>
    <w:rsid w:val="00420000"/>
    <w:rsid w:val="004204BA"/>
    <w:rsid w:val="004204E5"/>
    <w:rsid w:val="00422A6A"/>
    <w:rsid w:val="00423271"/>
    <w:rsid w:val="004241E0"/>
    <w:rsid w:val="004242D2"/>
    <w:rsid w:val="0042652A"/>
    <w:rsid w:val="0042782A"/>
    <w:rsid w:val="0043031D"/>
    <w:rsid w:val="004307CA"/>
    <w:rsid w:val="00430A26"/>
    <w:rsid w:val="00430B5B"/>
    <w:rsid w:val="00430C0D"/>
    <w:rsid w:val="00431E6A"/>
    <w:rsid w:val="004326C1"/>
    <w:rsid w:val="004331CB"/>
    <w:rsid w:val="00433D7C"/>
    <w:rsid w:val="004344F1"/>
    <w:rsid w:val="00434D08"/>
    <w:rsid w:val="004350CA"/>
    <w:rsid w:val="004354DD"/>
    <w:rsid w:val="00436151"/>
    <w:rsid w:val="004375B7"/>
    <w:rsid w:val="00437682"/>
    <w:rsid w:val="004418CF"/>
    <w:rsid w:val="004429EB"/>
    <w:rsid w:val="00450061"/>
    <w:rsid w:val="00450D18"/>
    <w:rsid w:val="0045104C"/>
    <w:rsid w:val="004531E1"/>
    <w:rsid w:val="00454917"/>
    <w:rsid w:val="004566B1"/>
    <w:rsid w:val="004577E4"/>
    <w:rsid w:val="0046021E"/>
    <w:rsid w:val="00460C69"/>
    <w:rsid w:val="00461AC5"/>
    <w:rsid w:val="004628F0"/>
    <w:rsid w:val="00462AA4"/>
    <w:rsid w:val="00463AC1"/>
    <w:rsid w:val="0046509C"/>
    <w:rsid w:val="00465B18"/>
    <w:rsid w:val="00465DD8"/>
    <w:rsid w:val="004664C4"/>
    <w:rsid w:val="004702B3"/>
    <w:rsid w:val="004710E0"/>
    <w:rsid w:val="004720AB"/>
    <w:rsid w:val="0047264E"/>
    <w:rsid w:val="00473707"/>
    <w:rsid w:val="00473B62"/>
    <w:rsid w:val="00474084"/>
    <w:rsid w:val="004766A5"/>
    <w:rsid w:val="00477438"/>
    <w:rsid w:val="0047782A"/>
    <w:rsid w:val="004809BB"/>
    <w:rsid w:val="00485D30"/>
    <w:rsid w:val="00485E58"/>
    <w:rsid w:val="00485F72"/>
    <w:rsid w:val="00486006"/>
    <w:rsid w:val="004878B0"/>
    <w:rsid w:val="00492413"/>
    <w:rsid w:val="00492768"/>
    <w:rsid w:val="00492BBA"/>
    <w:rsid w:val="00495178"/>
    <w:rsid w:val="00495351"/>
    <w:rsid w:val="00495A3A"/>
    <w:rsid w:val="00496D6D"/>
    <w:rsid w:val="004A0819"/>
    <w:rsid w:val="004A0A4E"/>
    <w:rsid w:val="004A17E0"/>
    <w:rsid w:val="004A1892"/>
    <w:rsid w:val="004A2CDB"/>
    <w:rsid w:val="004A2E34"/>
    <w:rsid w:val="004A425E"/>
    <w:rsid w:val="004A53E7"/>
    <w:rsid w:val="004A5A09"/>
    <w:rsid w:val="004B0677"/>
    <w:rsid w:val="004B22B1"/>
    <w:rsid w:val="004B4A83"/>
    <w:rsid w:val="004B4D42"/>
    <w:rsid w:val="004B66B7"/>
    <w:rsid w:val="004B703D"/>
    <w:rsid w:val="004B745A"/>
    <w:rsid w:val="004C03E7"/>
    <w:rsid w:val="004C0D9D"/>
    <w:rsid w:val="004C1883"/>
    <w:rsid w:val="004C22C3"/>
    <w:rsid w:val="004C3B24"/>
    <w:rsid w:val="004C3E1A"/>
    <w:rsid w:val="004C4045"/>
    <w:rsid w:val="004C404D"/>
    <w:rsid w:val="004C485E"/>
    <w:rsid w:val="004C500B"/>
    <w:rsid w:val="004C62C1"/>
    <w:rsid w:val="004C6C64"/>
    <w:rsid w:val="004D013A"/>
    <w:rsid w:val="004D0D5C"/>
    <w:rsid w:val="004D1F08"/>
    <w:rsid w:val="004D40BB"/>
    <w:rsid w:val="004D41D9"/>
    <w:rsid w:val="004D4D01"/>
    <w:rsid w:val="004D6AF8"/>
    <w:rsid w:val="004D6EC0"/>
    <w:rsid w:val="004D70A2"/>
    <w:rsid w:val="004D7AB1"/>
    <w:rsid w:val="004D7F9F"/>
    <w:rsid w:val="004E006A"/>
    <w:rsid w:val="004E0DC8"/>
    <w:rsid w:val="004E1D88"/>
    <w:rsid w:val="004E1F3A"/>
    <w:rsid w:val="004E203C"/>
    <w:rsid w:val="004E49F0"/>
    <w:rsid w:val="004E53A5"/>
    <w:rsid w:val="004E64FB"/>
    <w:rsid w:val="004E74F4"/>
    <w:rsid w:val="004E7E8F"/>
    <w:rsid w:val="004F1D63"/>
    <w:rsid w:val="004F2112"/>
    <w:rsid w:val="004F227D"/>
    <w:rsid w:val="004F3040"/>
    <w:rsid w:val="004F35E6"/>
    <w:rsid w:val="004F48B4"/>
    <w:rsid w:val="004F6365"/>
    <w:rsid w:val="004F7969"/>
    <w:rsid w:val="004F7B49"/>
    <w:rsid w:val="00502FAF"/>
    <w:rsid w:val="00503E27"/>
    <w:rsid w:val="00504011"/>
    <w:rsid w:val="00505851"/>
    <w:rsid w:val="00505EC4"/>
    <w:rsid w:val="0050750D"/>
    <w:rsid w:val="00507D5C"/>
    <w:rsid w:val="00507EA2"/>
    <w:rsid w:val="00507FB1"/>
    <w:rsid w:val="0051070B"/>
    <w:rsid w:val="0051070C"/>
    <w:rsid w:val="00510BA8"/>
    <w:rsid w:val="00511242"/>
    <w:rsid w:val="00511363"/>
    <w:rsid w:val="005115DA"/>
    <w:rsid w:val="00512550"/>
    <w:rsid w:val="005130D6"/>
    <w:rsid w:val="00513549"/>
    <w:rsid w:val="00513B55"/>
    <w:rsid w:val="00514DFF"/>
    <w:rsid w:val="005170AD"/>
    <w:rsid w:val="00517750"/>
    <w:rsid w:val="0052075D"/>
    <w:rsid w:val="005209A6"/>
    <w:rsid w:val="0052214A"/>
    <w:rsid w:val="005224E9"/>
    <w:rsid w:val="00522B24"/>
    <w:rsid w:val="00523E48"/>
    <w:rsid w:val="00526676"/>
    <w:rsid w:val="00527328"/>
    <w:rsid w:val="005308D5"/>
    <w:rsid w:val="00530D94"/>
    <w:rsid w:val="005320C5"/>
    <w:rsid w:val="00533301"/>
    <w:rsid w:val="0053341F"/>
    <w:rsid w:val="005346F1"/>
    <w:rsid w:val="0053535D"/>
    <w:rsid w:val="005355B1"/>
    <w:rsid w:val="00536B00"/>
    <w:rsid w:val="0053748C"/>
    <w:rsid w:val="005402F4"/>
    <w:rsid w:val="00541CE8"/>
    <w:rsid w:val="00542236"/>
    <w:rsid w:val="005426FD"/>
    <w:rsid w:val="00543271"/>
    <w:rsid w:val="00543757"/>
    <w:rsid w:val="00544712"/>
    <w:rsid w:val="00545E4C"/>
    <w:rsid w:val="005509C2"/>
    <w:rsid w:val="00551428"/>
    <w:rsid w:val="005524E6"/>
    <w:rsid w:val="00554D63"/>
    <w:rsid w:val="00556F82"/>
    <w:rsid w:val="00557D52"/>
    <w:rsid w:val="005600EF"/>
    <w:rsid w:val="00560A9E"/>
    <w:rsid w:val="0056119D"/>
    <w:rsid w:val="00562A2F"/>
    <w:rsid w:val="00562FCF"/>
    <w:rsid w:val="0056594D"/>
    <w:rsid w:val="005662BB"/>
    <w:rsid w:val="00567555"/>
    <w:rsid w:val="00567A06"/>
    <w:rsid w:val="00570BC1"/>
    <w:rsid w:val="00570DEF"/>
    <w:rsid w:val="0057154C"/>
    <w:rsid w:val="0057271C"/>
    <w:rsid w:val="00573812"/>
    <w:rsid w:val="00573881"/>
    <w:rsid w:val="00576E8C"/>
    <w:rsid w:val="00576F31"/>
    <w:rsid w:val="00580266"/>
    <w:rsid w:val="00580946"/>
    <w:rsid w:val="005822DD"/>
    <w:rsid w:val="00583714"/>
    <w:rsid w:val="00584803"/>
    <w:rsid w:val="005852D5"/>
    <w:rsid w:val="00585B95"/>
    <w:rsid w:val="00586017"/>
    <w:rsid w:val="0058605B"/>
    <w:rsid w:val="0058679A"/>
    <w:rsid w:val="0059115E"/>
    <w:rsid w:val="005921B4"/>
    <w:rsid w:val="00594584"/>
    <w:rsid w:val="0059575C"/>
    <w:rsid w:val="005A0EB9"/>
    <w:rsid w:val="005A139C"/>
    <w:rsid w:val="005A3E5C"/>
    <w:rsid w:val="005A58A9"/>
    <w:rsid w:val="005A5FD1"/>
    <w:rsid w:val="005A69C7"/>
    <w:rsid w:val="005A6D54"/>
    <w:rsid w:val="005A7277"/>
    <w:rsid w:val="005A7376"/>
    <w:rsid w:val="005A7F29"/>
    <w:rsid w:val="005B0568"/>
    <w:rsid w:val="005B1308"/>
    <w:rsid w:val="005B2F3F"/>
    <w:rsid w:val="005B4420"/>
    <w:rsid w:val="005B4DF7"/>
    <w:rsid w:val="005B4FC6"/>
    <w:rsid w:val="005B5AF4"/>
    <w:rsid w:val="005B5EDF"/>
    <w:rsid w:val="005B6525"/>
    <w:rsid w:val="005B68CD"/>
    <w:rsid w:val="005B6D01"/>
    <w:rsid w:val="005B6E3B"/>
    <w:rsid w:val="005B78BA"/>
    <w:rsid w:val="005C1DC6"/>
    <w:rsid w:val="005C21A2"/>
    <w:rsid w:val="005C2E36"/>
    <w:rsid w:val="005C3D54"/>
    <w:rsid w:val="005C4A8B"/>
    <w:rsid w:val="005C59A1"/>
    <w:rsid w:val="005C59B8"/>
    <w:rsid w:val="005C66BB"/>
    <w:rsid w:val="005C7CA1"/>
    <w:rsid w:val="005D1BCD"/>
    <w:rsid w:val="005D2106"/>
    <w:rsid w:val="005D3BC5"/>
    <w:rsid w:val="005D43A6"/>
    <w:rsid w:val="005D44F6"/>
    <w:rsid w:val="005D4BAF"/>
    <w:rsid w:val="005D4C98"/>
    <w:rsid w:val="005D5403"/>
    <w:rsid w:val="005D5999"/>
    <w:rsid w:val="005D5C76"/>
    <w:rsid w:val="005D6208"/>
    <w:rsid w:val="005E1B90"/>
    <w:rsid w:val="005E2831"/>
    <w:rsid w:val="005E2AF0"/>
    <w:rsid w:val="005E3F91"/>
    <w:rsid w:val="005E4398"/>
    <w:rsid w:val="005E45CA"/>
    <w:rsid w:val="005E6ECE"/>
    <w:rsid w:val="005F0888"/>
    <w:rsid w:val="005F13B1"/>
    <w:rsid w:val="005F19B4"/>
    <w:rsid w:val="005F1AA4"/>
    <w:rsid w:val="005F233F"/>
    <w:rsid w:val="005F39B2"/>
    <w:rsid w:val="005F4B67"/>
    <w:rsid w:val="005F4B87"/>
    <w:rsid w:val="005F4E73"/>
    <w:rsid w:val="005F5ABA"/>
    <w:rsid w:val="005F5EB6"/>
    <w:rsid w:val="005F6453"/>
    <w:rsid w:val="005F7147"/>
    <w:rsid w:val="005F754F"/>
    <w:rsid w:val="005F7739"/>
    <w:rsid w:val="005F7E67"/>
    <w:rsid w:val="006015A6"/>
    <w:rsid w:val="00602956"/>
    <w:rsid w:val="00602974"/>
    <w:rsid w:val="00602CFC"/>
    <w:rsid w:val="006035A1"/>
    <w:rsid w:val="00603884"/>
    <w:rsid w:val="006058D0"/>
    <w:rsid w:val="00606B66"/>
    <w:rsid w:val="006079D1"/>
    <w:rsid w:val="00607E2F"/>
    <w:rsid w:val="006105E0"/>
    <w:rsid w:val="00610B42"/>
    <w:rsid w:val="00610B56"/>
    <w:rsid w:val="00611872"/>
    <w:rsid w:val="00611D84"/>
    <w:rsid w:val="00611F39"/>
    <w:rsid w:val="0061203F"/>
    <w:rsid w:val="006127DB"/>
    <w:rsid w:val="00612E02"/>
    <w:rsid w:val="00615DB7"/>
    <w:rsid w:val="00616CC4"/>
    <w:rsid w:val="00617479"/>
    <w:rsid w:val="00617A86"/>
    <w:rsid w:val="0062075F"/>
    <w:rsid w:val="00620A36"/>
    <w:rsid w:val="00620BF6"/>
    <w:rsid w:val="006226E3"/>
    <w:rsid w:val="00622F55"/>
    <w:rsid w:val="00623906"/>
    <w:rsid w:val="00623B9C"/>
    <w:rsid w:val="00623E58"/>
    <w:rsid w:val="006249CF"/>
    <w:rsid w:val="006269E0"/>
    <w:rsid w:val="006269F7"/>
    <w:rsid w:val="006278A0"/>
    <w:rsid w:val="006314AD"/>
    <w:rsid w:val="00631D2B"/>
    <w:rsid w:val="0063510E"/>
    <w:rsid w:val="00637076"/>
    <w:rsid w:val="006407B4"/>
    <w:rsid w:val="006408BD"/>
    <w:rsid w:val="0064185E"/>
    <w:rsid w:val="00642C74"/>
    <w:rsid w:val="0064311A"/>
    <w:rsid w:val="00645B58"/>
    <w:rsid w:val="006470DF"/>
    <w:rsid w:val="00647D94"/>
    <w:rsid w:val="00651B98"/>
    <w:rsid w:val="006529D4"/>
    <w:rsid w:val="00652BE8"/>
    <w:rsid w:val="00652C1A"/>
    <w:rsid w:val="0065360D"/>
    <w:rsid w:val="00653613"/>
    <w:rsid w:val="00654C87"/>
    <w:rsid w:val="00654DB8"/>
    <w:rsid w:val="006559B4"/>
    <w:rsid w:val="00655A36"/>
    <w:rsid w:val="00656308"/>
    <w:rsid w:val="006569C8"/>
    <w:rsid w:val="00656CCB"/>
    <w:rsid w:val="0065725B"/>
    <w:rsid w:val="00657987"/>
    <w:rsid w:val="006579B0"/>
    <w:rsid w:val="00657B92"/>
    <w:rsid w:val="00661182"/>
    <w:rsid w:val="00661392"/>
    <w:rsid w:val="00661DFD"/>
    <w:rsid w:val="00664C03"/>
    <w:rsid w:val="0066511A"/>
    <w:rsid w:val="0066536C"/>
    <w:rsid w:val="006665E8"/>
    <w:rsid w:val="00666960"/>
    <w:rsid w:val="006707BA"/>
    <w:rsid w:val="006707FA"/>
    <w:rsid w:val="0067122C"/>
    <w:rsid w:val="00671EE2"/>
    <w:rsid w:val="00673540"/>
    <w:rsid w:val="0067517A"/>
    <w:rsid w:val="006768E7"/>
    <w:rsid w:val="00676B6F"/>
    <w:rsid w:val="00676C6C"/>
    <w:rsid w:val="006776A5"/>
    <w:rsid w:val="00680ED0"/>
    <w:rsid w:val="00681428"/>
    <w:rsid w:val="00681556"/>
    <w:rsid w:val="00683730"/>
    <w:rsid w:val="0068465D"/>
    <w:rsid w:val="00684F6C"/>
    <w:rsid w:val="00685483"/>
    <w:rsid w:val="0068713F"/>
    <w:rsid w:val="00687CBB"/>
    <w:rsid w:val="006901DC"/>
    <w:rsid w:val="006907B9"/>
    <w:rsid w:val="00690EE0"/>
    <w:rsid w:val="0069109A"/>
    <w:rsid w:val="0069122C"/>
    <w:rsid w:val="0069131D"/>
    <w:rsid w:val="006919C2"/>
    <w:rsid w:val="0069292D"/>
    <w:rsid w:val="00693885"/>
    <w:rsid w:val="00696015"/>
    <w:rsid w:val="0069692C"/>
    <w:rsid w:val="00696A3F"/>
    <w:rsid w:val="006A0461"/>
    <w:rsid w:val="006A19EB"/>
    <w:rsid w:val="006A1C86"/>
    <w:rsid w:val="006A223E"/>
    <w:rsid w:val="006A3211"/>
    <w:rsid w:val="006A484F"/>
    <w:rsid w:val="006A4A22"/>
    <w:rsid w:val="006A4FFB"/>
    <w:rsid w:val="006A5029"/>
    <w:rsid w:val="006A6182"/>
    <w:rsid w:val="006A62D6"/>
    <w:rsid w:val="006A6983"/>
    <w:rsid w:val="006A6D2C"/>
    <w:rsid w:val="006B0745"/>
    <w:rsid w:val="006B0862"/>
    <w:rsid w:val="006B0883"/>
    <w:rsid w:val="006B4962"/>
    <w:rsid w:val="006B5B30"/>
    <w:rsid w:val="006B5DB0"/>
    <w:rsid w:val="006B6A0D"/>
    <w:rsid w:val="006B6D69"/>
    <w:rsid w:val="006C01BE"/>
    <w:rsid w:val="006C17C5"/>
    <w:rsid w:val="006C41BD"/>
    <w:rsid w:val="006C4D3C"/>
    <w:rsid w:val="006C4DF5"/>
    <w:rsid w:val="006C4F9D"/>
    <w:rsid w:val="006C5943"/>
    <w:rsid w:val="006C5DD1"/>
    <w:rsid w:val="006C5FEF"/>
    <w:rsid w:val="006C797B"/>
    <w:rsid w:val="006C7A3F"/>
    <w:rsid w:val="006D2602"/>
    <w:rsid w:val="006D2A10"/>
    <w:rsid w:val="006D2EA9"/>
    <w:rsid w:val="006D2FBC"/>
    <w:rsid w:val="006D5983"/>
    <w:rsid w:val="006D5CE5"/>
    <w:rsid w:val="006E1016"/>
    <w:rsid w:val="006E1293"/>
    <w:rsid w:val="006E169D"/>
    <w:rsid w:val="006E4B62"/>
    <w:rsid w:val="006E52EC"/>
    <w:rsid w:val="006E638B"/>
    <w:rsid w:val="006E7FCD"/>
    <w:rsid w:val="006F19AB"/>
    <w:rsid w:val="006F19B3"/>
    <w:rsid w:val="006F20C5"/>
    <w:rsid w:val="006F21EA"/>
    <w:rsid w:val="006F284E"/>
    <w:rsid w:val="006F2DB7"/>
    <w:rsid w:val="006F44E9"/>
    <w:rsid w:val="006F45CE"/>
    <w:rsid w:val="006F4A46"/>
    <w:rsid w:val="006F4D08"/>
    <w:rsid w:val="006F5A4B"/>
    <w:rsid w:val="006F6D88"/>
    <w:rsid w:val="006F74C1"/>
    <w:rsid w:val="006F7AE1"/>
    <w:rsid w:val="007003CB"/>
    <w:rsid w:val="00700963"/>
    <w:rsid w:val="00705942"/>
    <w:rsid w:val="007071F0"/>
    <w:rsid w:val="00707254"/>
    <w:rsid w:val="00707741"/>
    <w:rsid w:val="00711F43"/>
    <w:rsid w:val="0071283B"/>
    <w:rsid w:val="0071494C"/>
    <w:rsid w:val="0071554F"/>
    <w:rsid w:val="00716A71"/>
    <w:rsid w:val="00716C4F"/>
    <w:rsid w:val="007171D3"/>
    <w:rsid w:val="00720DAC"/>
    <w:rsid w:val="00723281"/>
    <w:rsid w:val="00723C64"/>
    <w:rsid w:val="00726B23"/>
    <w:rsid w:val="00727CEC"/>
    <w:rsid w:val="007307DC"/>
    <w:rsid w:val="00731ACF"/>
    <w:rsid w:val="00732105"/>
    <w:rsid w:val="00732A42"/>
    <w:rsid w:val="0073330E"/>
    <w:rsid w:val="00733495"/>
    <w:rsid w:val="00733789"/>
    <w:rsid w:val="007342AC"/>
    <w:rsid w:val="00737A45"/>
    <w:rsid w:val="007419B7"/>
    <w:rsid w:val="007430E7"/>
    <w:rsid w:val="007450BB"/>
    <w:rsid w:val="007455D9"/>
    <w:rsid w:val="007500C2"/>
    <w:rsid w:val="0075088F"/>
    <w:rsid w:val="00750C45"/>
    <w:rsid w:val="00751381"/>
    <w:rsid w:val="007517B3"/>
    <w:rsid w:val="0075240A"/>
    <w:rsid w:val="00752B14"/>
    <w:rsid w:val="007534F8"/>
    <w:rsid w:val="007544F4"/>
    <w:rsid w:val="00754808"/>
    <w:rsid w:val="007560F4"/>
    <w:rsid w:val="00756573"/>
    <w:rsid w:val="00756FFC"/>
    <w:rsid w:val="00757713"/>
    <w:rsid w:val="00757B3F"/>
    <w:rsid w:val="007609FD"/>
    <w:rsid w:val="00761750"/>
    <w:rsid w:val="00761B7A"/>
    <w:rsid w:val="00762576"/>
    <w:rsid w:val="007636FB"/>
    <w:rsid w:val="00763C78"/>
    <w:rsid w:val="0076401C"/>
    <w:rsid w:val="0076471B"/>
    <w:rsid w:val="007647AC"/>
    <w:rsid w:val="007656D5"/>
    <w:rsid w:val="00765D1A"/>
    <w:rsid w:val="00765E7C"/>
    <w:rsid w:val="00766F48"/>
    <w:rsid w:val="00767B01"/>
    <w:rsid w:val="00767B5B"/>
    <w:rsid w:val="007708D8"/>
    <w:rsid w:val="00771649"/>
    <w:rsid w:val="007727D9"/>
    <w:rsid w:val="007736E0"/>
    <w:rsid w:val="00774683"/>
    <w:rsid w:val="00774C49"/>
    <w:rsid w:val="00775D14"/>
    <w:rsid w:val="0077669B"/>
    <w:rsid w:val="00776965"/>
    <w:rsid w:val="00777A01"/>
    <w:rsid w:val="00780750"/>
    <w:rsid w:val="00781491"/>
    <w:rsid w:val="00781855"/>
    <w:rsid w:val="00783B22"/>
    <w:rsid w:val="00783B54"/>
    <w:rsid w:val="00784B2A"/>
    <w:rsid w:val="00784CB8"/>
    <w:rsid w:val="00785982"/>
    <w:rsid w:val="00785A10"/>
    <w:rsid w:val="00785A4B"/>
    <w:rsid w:val="00786CA5"/>
    <w:rsid w:val="00786D6F"/>
    <w:rsid w:val="00787682"/>
    <w:rsid w:val="00790868"/>
    <w:rsid w:val="0079089A"/>
    <w:rsid w:val="00791B1B"/>
    <w:rsid w:val="00791EA1"/>
    <w:rsid w:val="00792FF8"/>
    <w:rsid w:val="00793034"/>
    <w:rsid w:val="00793CE7"/>
    <w:rsid w:val="007948CC"/>
    <w:rsid w:val="007958B3"/>
    <w:rsid w:val="007A04AC"/>
    <w:rsid w:val="007A223F"/>
    <w:rsid w:val="007A285A"/>
    <w:rsid w:val="007A2DF5"/>
    <w:rsid w:val="007A4410"/>
    <w:rsid w:val="007A4B69"/>
    <w:rsid w:val="007A59F2"/>
    <w:rsid w:val="007A5B0F"/>
    <w:rsid w:val="007A7133"/>
    <w:rsid w:val="007B0B38"/>
    <w:rsid w:val="007B1941"/>
    <w:rsid w:val="007B35D2"/>
    <w:rsid w:val="007B3721"/>
    <w:rsid w:val="007B400E"/>
    <w:rsid w:val="007B49BE"/>
    <w:rsid w:val="007B4C47"/>
    <w:rsid w:val="007B702E"/>
    <w:rsid w:val="007C0CA1"/>
    <w:rsid w:val="007C3771"/>
    <w:rsid w:val="007C37DA"/>
    <w:rsid w:val="007C4685"/>
    <w:rsid w:val="007C4B35"/>
    <w:rsid w:val="007C57D2"/>
    <w:rsid w:val="007C5BF0"/>
    <w:rsid w:val="007C6789"/>
    <w:rsid w:val="007D022A"/>
    <w:rsid w:val="007D0FE4"/>
    <w:rsid w:val="007D1631"/>
    <w:rsid w:val="007D2F75"/>
    <w:rsid w:val="007D312C"/>
    <w:rsid w:val="007D3D81"/>
    <w:rsid w:val="007D454C"/>
    <w:rsid w:val="007D4C76"/>
    <w:rsid w:val="007D68BC"/>
    <w:rsid w:val="007D6A08"/>
    <w:rsid w:val="007E0EB3"/>
    <w:rsid w:val="007E2013"/>
    <w:rsid w:val="007E33B5"/>
    <w:rsid w:val="007E3AE6"/>
    <w:rsid w:val="007E4B94"/>
    <w:rsid w:val="007E4BF7"/>
    <w:rsid w:val="007E55DB"/>
    <w:rsid w:val="007E5ADF"/>
    <w:rsid w:val="007E6F44"/>
    <w:rsid w:val="007E703B"/>
    <w:rsid w:val="007E754E"/>
    <w:rsid w:val="007E75B2"/>
    <w:rsid w:val="007E7C78"/>
    <w:rsid w:val="007F2BF2"/>
    <w:rsid w:val="007F2F6B"/>
    <w:rsid w:val="007F4ABC"/>
    <w:rsid w:val="007F5D89"/>
    <w:rsid w:val="007F6D6B"/>
    <w:rsid w:val="007F7337"/>
    <w:rsid w:val="008005F7"/>
    <w:rsid w:val="00800609"/>
    <w:rsid w:val="008024C8"/>
    <w:rsid w:val="008037EA"/>
    <w:rsid w:val="00805573"/>
    <w:rsid w:val="008056E1"/>
    <w:rsid w:val="00807675"/>
    <w:rsid w:val="00810AE1"/>
    <w:rsid w:val="00810F5A"/>
    <w:rsid w:val="00811497"/>
    <w:rsid w:val="00811E37"/>
    <w:rsid w:val="00812944"/>
    <w:rsid w:val="00813049"/>
    <w:rsid w:val="00813D17"/>
    <w:rsid w:val="00813DBC"/>
    <w:rsid w:val="008145B4"/>
    <w:rsid w:val="008147B8"/>
    <w:rsid w:val="0082039F"/>
    <w:rsid w:val="00821594"/>
    <w:rsid w:val="0082160E"/>
    <w:rsid w:val="008216A0"/>
    <w:rsid w:val="00821A46"/>
    <w:rsid w:val="00821EA2"/>
    <w:rsid w:val="008238E2"/>
    <w:rsid w:val="0082408F"/>
    <w:rsid w:val="00824164"/>
    <w:rsid w:val="00824AE2"/>
    <w:rsid w:val="0082652D"/>
    <w:rsid w:val="00830E59"/>
    <w:rsid w:val="0083438C"/>
    <w:rsid w:val="00835B82"/>
    <w:rsid w:val="00836701"/>
    <w:rsid w:val="00837CB2"/>
    <w:rsid w:val="00840542"/>
    <w:rsid w:val="0084176E"/>
    <w:rsid w:val="008419FA"/>
    <w:rsid w:val="00842672"/>
    <w:rsid w:val="00842A13"/>
    <w:rsid w:val="00842C35"/>
    <w:rsid w:val="008431BE"/>
    <w:rsid w:val="00844ACA"/>
    <w:rsid w:val="00844C35"/>
    <w:rsid w:val="00845007"/>
    <w:rsid w:val="00846B3F"/>
    <w:rsid w:val="00847374"/>
    <w:rsid w:val="00847423"/>
    <w:rsid w:val="008505F6"/>
    <w:rsid w:val="008518A2"/>
    <w:rsid w:val="008528B9"/>
    <w:rsid w:val="00852F66"/>
    <w:rsid w:val="008532F6"/>
    <w:rsid w:val="00855755"/>
    <w:rsid w:val="008563DA"/>
    <w:rsid w:val="008565AF"/>
    <w:rsid w:val="008575DD"/>
    <w:rsid w:val="00857B34"/>
    <w:rsid w:val="008611FC"/>
    <w:rsid w:val="00861E38"/>
    <w:rsid w:val="008621B2"/>
    <w:rsid w:val="00862E04"/>
    <w:rsid w:val="008634F5"/>
    <w:rsid w:val="008639BD"/>
    <w:rsid w:val="008640C6"/>
    <w:rsid w:val="00867235"/>
    <w:rsid w:val="0086733A"/>
    <w:rsid w:val="00870A88"/>
    <w:rsid w:val="0087144F"/>
    <w:rsid w:val="00872F6A"/>
    <w:rsid w:val="008744C9"/>
    <w:rsid w:val="00875A59"/>
    <w:rsid w:val="00877639"/>
    <w:rsid w:val="0088039D"/>
    <w:rsid w:val="00884CF5"/>
    <w:rsid w:val="00886554"/>
    <w:rsid w:val="0088683A"/>
    <w:rsid w:val="008868A6"/>
    <w:rsid w:val="00887B5E"/>
    <w:rsid w:val="00890BDA"/>
    <w:rsid w:val="00892063"/>
    <w:rsid w:val="00892553"/>
    <w:rsid w:val="00892BB9"/>
    <w:rsid w:val="0089503D"/>
    <w:rsid w:val="00895962"/>
    <w:rsid w:val="00896A2E"/>
    <w:rsid w:val="00896E0B"/>
    <w:rsid w:val="008A00FF"/>
    <w:rsid w:val="008A09B9"/>
    <w:rsid w:val="008A0C93"/>
    <w:rsid w:val="008A18C3"/>
    <w:rsid w:val="008A3899"/>
    <w:rsid w:val="008A4FC3"/>
    <w:rsid w:val="008A5FDB"/>
    <w:rsid w:val="008A61EB"/>
    <w:rsid w:val="008A61F6"/>
    <w:rsid w:val="008A6215"/>
    <w:rsid w:val="008A6F4C"/>
    <w:rsid w:val="008B176F"/>
    <w:rsid w:val="008B1AC6"/>
    <w:rsid w:val="008B1DC1"/>
    <w:rsid w:val="008B3197"/>
    <w:rsid w:val="008B3475"/>
    <w:rsid w:val="008B3757"/>
    <w:rsid w:val="008B3F0F"/>
    <w:rsid w:val="008B4341"/>
    <w:rsid w:val="008B4474"/>
    <w:rsid w:val="008B4641"/>
    <w:rsid w:val="008B48D6"/>
    <w:rsid w:val="008B4B94"/>
    <w:rsid w:val="008B52AB"/>
    <w:rsid w:val="008B5722"/>
    <w:rsid w:val="008B582D"/>
    <w:rsid w:val="008B6BED"/>
    <w:rsid w:val="008B76B2"/>
    <w:rsid w:val="008B7BB4"/>
    <w:rsid w:val="008C0D9D"/>
    <w:rsid w:val="008C4106"/>
    <w:rsid w:val="008C4D14"/>
    <w:rsid w:val="008C55C5"/>
    <w:rsid w:val="008C5D6C"/>
    <w:rsid w:val="008C7123"/>
    <w:rsid w:val="008C7891"/>
    <w:rsid w:val="008D0334"/>
    <w:rsid w:val="008D1120"/>
    <w:rsid w:val="008D15AA"/>
    <w:rsid w:val="008D1A09"/>
    <w:rsid w:val="008D1C3E"/>
    <w:rsid w:val="008D2F8B"/>
    <w:rsid w:val="008D3386"/>
    <w:rsid w:val="008D4DF1"/>
    <w:rsid w:val="008D58E4"/>
    <w:rsid w:val="008D6099"/>
    <w:rsid w:val="008D77BF"/>
    <w:rsid w:val="008E0C3F"/>
    <w:rsid w:val="008E0FED"/>
    <w:rsid w:val="008E161C"/>
    <w:rsid w:val="008E18B8"/>
    <w:rsid w:val="008E2F3F"/>
    <w:rsid w:val="008E42CD"/>
    <w:rsid w:val="008E488B"/>
    <w:rsid w:val="008F1340"/>
    <w:rsid w:val="008F15EC"/>
    <w:rsid w:val="008F17C8"/>
    <w:rsid w:val="008F24A1"/>
    <w:rsid w:val="008F2979"/>
    <w:rsid w:val="008F29D4"/>
    <w:rsid w:val="008F2A85"/>
    <w:rsid w:val="008F42AE"/>
    <w:rsid w:val="008F5C08"/>
    <w:rsid w:val="008F5CF5"/>
    <w:rsid w:val="008F7701"/>
    <w:rsid w:val="008F7DB4"/>
    <w:rsid w:val="008F7F61"/>
    <w:rsid w:val="009014D8"/>
    <w:rsid w:val="00903A6E"/>
    <w:rsid w:val="0090435F"/>
    <w:rsid w:val="009049AD"/>
    <w:rsid w:val="00904A78"/>
    <w:rsid w:val="00904E76"/>
    <w:rsid w:val="00906FD5"/>
    <w:rsid w:val="00907367"/>
    <w:rsid w:val="00907955"/>
    <w:rsid w:val="00910B15"/>
    <w:rsid w:val="009143DB"/>
    <w:rsid w:val="00914C8A"/>
    <w:rsid w:val="009154D3"/>
    <w:rsid w:val="00916F91"/>
    <w:rsid w:val="009209F2"/>
    <w:rsid w:val="00921628"/>
    <w:rsid w:val="00921799"/>
    <w:rsid w:val="009221DA"/>
    <w:rsid w:val="009248D7"/>
    <w:rsid w:val="009250A5"/>
    <w:rsid w:val="009250CC"/>
    <w:rsid w:val="00926EE0"/>
    <w:rsid w:val="009306B4"/>
    <w:rsid w:val="00930D37"/>
    <w:rsid w:val="0093221D"/>
    <w:rsid w:val="009335F6"/>
    <w:rsid w:val="009348BD"/>
    <w:rsid w:val="0093494F"/>
    <w:rsid w:val="00934F22"/>
    <w:rsid w:val="00936A1B"/>
    <w:rsid w:val="00937C3A"/>
    <w:rsid w:val="00940754"/>
    <w:rsid w:val="0094098B"/>
    <w:rsid w:val="0094404D"/>
    <w:rsid w:val="009459EA"/>
    <w:rsid w:val="00945FB1"/>
    <w:rsid w:val="0094635C"/>
    <w:rsid w:val="00947E0F"/>
    <w:rsid w:val="00950FE2"/>
    <w:rsid w:val="00952D36"/>
    <w:rsid w:val="00953342"/>
    <w:rsid w:val="00953FA9"/>
    <w:rsid w:val="009562A9"/>
    <w:rsid w:val="009573AC"/>
    <w:rsid w:val="009573D4"/>
    <w:rsid w:val="009600C6"/>
    <w:rsid w:val="00960F76"/>
    <w:rsid w:val="00963C71"/>
    <w:rsid w:val="0096458C"/>
    <w:rsid w:val="00965FAC"/>
    <w:rsid w:val="00966660"/>
    <w:rsid w:val="00967B66"/>
    <w:rsid w:val="00970165"/>
    <w:rsid w:val="0097021B"/>
    <w:rsid w:val="00970CFD"/>
    <w:rsid w:val="00971A3C"/>
    <w:rsid w:val="00972791"/>
    <w:rsid w:val="00973301"/>
    <w:rsid w:val="009733A4"/>
    <w:rsid w:val="009740CF"/>
    <w:rsid w:val="00974159"/>
    <w:rsid w:val="0097486A"/>
    <w:rsid w:val="009751F6"/>
    <w:rsid w:val="00975CFD"/>
    <w:rsid w:val="00977A96"/>
    <w:rsid w:val="009801B8"/>
    <w:rsid w:val="009802CD"/>
    <w:rsid w:val="00980428"/>
    <w:rsid w:val="009806C3"/>
    <w:rsid w:val="00980D78"/>
    <w:rsid w:val="00981972"/>
    <w:rsid w:val="0098381E"/>
    <w:rsid w:val="009844BF"/>
    <w:rsid w:val="00984837"/>
    <w:rsid w:val="00986220"/>
    <w:rsid w:val="00986C26"/>
    <w:rsid w:val="00986D14"/>
    <w:rsid w:val="00987507"/>
    <w:rsid w:val="00987785"/>
    <w:rsid w:val="00990FED"/>
    <w:rsid w:val="0099168B"/>
    <w:rsid w:val="00991CAA"/>
    <w:rsid w:val="00991F5A"/>
    <w:rsid w:val="00992259"/>
    <w:rsid w:val="009928D7"/>
    <w:rsid w:val="00992A4B"/>
    <w:rsid w:val="00995008"/>
    <w:rsid w:val="009951AF"/>
    <w:rsid w:val="00995DA4"/>
    <w:rsid w:val="00997072"/>
    <w:rsid w:val="009A200A"/>
    <w:rsid w:val="009A27F5"/>
    <w:rsid w:val="009A4907"/>
    <w:rsid w:val="009A4A4D"/>
    <w:rsid w:val="009B1B60"/>
    <w:rsid w:val="009B1CB5"/>
    <w:rsid w:val="009B45F4"/>
    <w:rsid w:val="009B488D"/>
    <w:rsid w:val="009B50C6"/>
    <w:rsid w:val="009B5C2D"/>
    <w:rsid w:val="009B7176"/>
    <w:rsid w:val="009B7E92"/>
    <w:rsid w:val="009C1166"/>
    <w:rsid w:val="009C159A"/>
    <w:rsid w:val="009C1A78"/>
    <w:rsid w:val="009C2459"/>
    <w:rsid w:val="009C381C"/>
    <w:rsid w:val="009C3C87"/>
    <w:rsid w:val="009C5DE6"/>
    <w:rsid w:val="009C73DD"/>
    <w:rsid w:val="009C7E52"/>
    <w:rsid w:val="009D0B77"/>
    <w:rsid w:val="009D0EE7"/>
    <w:rsid w:val="009D1376"/>
    <w:rsid w:val="009D1441"/>
    <w:rsid w:val="009D14D3"/>
    <w:rsid w:val="009D1821"/>
    <w:rsid w:val="009D2D8F"/>
    <w:rsid w:val="009D392B"/>
    <w:rsid w:val="009D69BF"/>
    <w:rsid w:val="009D714E"/>
    <w:rsid w:val="009D7902"/>
    <w:rsid w:val="009E074A"/>
    <w:rsid w:val="009E0B11"/>
    <w:rsid w:val="009E2170"/>
    <w:rsid w:val="009E2C38"/>
    <w:rsid w:val="009E448B"/>
    <w:rsid w:val="009E4B37"/>
    <w:rsid w:val="009E4F4A"/>
    <w:rsid w:val="009E5E82"/>
    <w:rsid w:val="009F0282"/>
    <w:rsid w:val="009F09E7"/>
    <w:rsid w:val="009F0DA1"/>
    <w:rsid w:val="009F1672"/>
    <w:rsid w:val="009F1FEE"/>
    <w:rsid w:val="009F2E43"/>
    <w:rsid w:val="009F356D"/>
    <w:rsid w:val="009F5FC0"/>
    <w:rsid w:val="009F682C"/>
    <w:rsid w:val="00A007D6"/>
    <w:rsid w:val="00A017AD"/>
    <w:rsid w:val="00A01B81"/>
    <w:rsid w:val="00A02265"/>
    <w:rsid w:val="00A024B2"/>
    <w:rsid w:val="00A029F9"/>
    <w:rsid w:val="00A0306E"/>
    <w:rsid w:val="00A031FD"/>
    <w:rsid w:val="00A05B56"/>
    <w:rsid w:val="00A06F61"/>
    <w:rsid w:val="00A07BE0"/>
    <w:rsid w:val="00A07E4F"/>
    <w:rsid w:val="00A105CC"/>
    <w:rsid w:val="00A106E7"/>
    <w:rsid w:val="00A10748"/>
    <w:rsid w:val="00A12651"/>
    <w:rsid w:val="00A12880"/>
    <w:rsid w:val="00A129A8"/>
    <w:rsid w:val="00A12FCE"/>
    <w:rsid w:val="00A13239"/>
    <w:rsid w:val="00A1543B"/>
    <w:rsid w:val="00A15AF7"/>
    <w:rsid w:val="00A163E4"/>
    <w:rsid w:val="00A1746D"/>
    <w:rsid w:val="00A17C53"/>
    <w:rsid w:val="00A17D99"/>
    <w:rsid w:val="00A225BC"/>
    <w:rsid w:val="00A22A61"/>
    <w:rsid w:val="00A23029"/>
    <w:rsid w:val="00A23E55"/>
    <w:rsid w:val="00A249E5"/>
    <w:rsid w:val="00A26DC5"/>
    <w:rsid w:val="00A2796B"/>
    <w:rsid w:val="00A3127E"/>
    <w:rsid w:val="00A328CA"/>
    <w:rsid w:val="00A3609A"/>
    <w:rsid w:val="00A37B42"/>
    <w:rsid w:val="00A37BA3"/>
    <w:rsid w:val="00A37E18"/>
    <w:rsid w:val="00A40188"/>
    <w:rsid w:val="00A402E5"/>
    <w:rsid w:val="00A42122"/>
    <w:rsid w:val="00A432A8"/>
    <w:rsid w:val="00A43360"/>
    <w:rsid w:val="00A4367E"/>
    <w:rsid w:val="00A44E08"/>
    <w:rsid w:val="00A4646D"/>
    <w:rsid w:val="00A47F7C"/>
    <w:rsid w:val="00A50582"/>
    <w:rsid w:val="00A50867"/>
    <w:rsid w:val="00A51F85"/>
    <w:rsid w:val="00A53642"/>
    <w:rsid w:val="00A5369C"/>
    <w:rsid w:val="00A551CE"/>
    <w:rsid w:val="00A555A2"/>
    <w:rsid w:val="00A557A9"/>
    <w:rsid w:val="00A561B1"/>
    <w:rsid w:val="00A56614"/>
    <w:rsid w:val="00A56A0E"/>
    <w:rsid w:val="00A57CCE"/>
    <w:rsid w:val="00A60101"/>
    <w:rsid w:val="00A60DCC"/>
    <w:rsid w:val="00A617D2"/>
    <w:rsid w:val="00A61BBB"/>
    <w:rsid w:val="00A6410E"/>
    <w:rsid w:val="00A66133"/>
    <w:rsid w:val="00A665BE"/>
    <w:rsid w:val="00A710B5"/>
    <w:rsid w:val="00A7391B"/>
    <w:rsid w:val="00A763DD"/>
    <w:rsid w:val="00A764CE"/>
    <w:rsid w:val="00A7653A"/>
    <w:rsid w:val="00A77891"/>
    <w:rsid w:val="00A80DF9"/>
    <w:rsid w:val="00A81132"/>
    <w:rsid w:val="00A816BA"/>
    <w:rsid w:val="00A8186F"/>
    <w:rsid w:val="00A82E8C"/>
    <w:rsid w:val="00A82F06"/>
    <w:rsid w:val="00A83D55"/>
    <w:rsid w:val="00A8436E"/>
    <w:rsid w:val="00A844D4"/>
    <w:rsid w:val="00A84848"/>
    <w:rsid w:val="00A8564C"/>
    <w:rsid w:val="00A87120"/>
    <w:rsid w:val="00A9037A"/>
    <w:rsid w:val="00A93491"/>
    <w:rsid w:val="00A940BB"/>
    <w:rsid w:val="00A950E6"/>
    <w:rsid w:val="00A95676"/>
    <w:rsid w:val="00AA0F1C"/>
    <w:rsid w:val="00AA1309"/>
    <w:rsid w:val="00AA1367"/>
    <w:rsid w:val="00AA1832"/>
    <w:rsid w:val="00AA186D"/>
    <w:rsid w:val="00AA277F"/>
    <w:rsid w:val="00AA2BBF"/>
    <w:rsid w:val="00AA2F2E"/>
    <w:rsid w:val="00AA3C27"/>
    <w:rsid w:val="00AA44BB"/>
    <w:rsid w:val="00AA4C8F"/>
    <w:rsid w:val="00AA5803"/>
    <w:rsid w:val="00AA5838"/>
    <w:rsid w:val="00AA6906"/>
    <w:rsid w:val="00AA79BB"/>
    <w:rsid w:val="00AB007C"/>
    <w:rsid w:val="00AB2595"/>
    <w:rsid w:val="00AB3C74"/>
    <w:rsid w:val="00AB5003"/>
    <w:rsid w:val="00AB5452"/>
    <w:rsid w:val="00AB55DE"/>
    <w:rsid w:val="00AB6041"/>
    <w:rsid w:val="00AB77C8"/>
    <w:rsid w:val="00AB7A0A"/>
    <w:rsid w:val="00AC0385"/>
    <w:rsid w:val="00AC0EEB"/>
    <w:rsid w:val="00AC0F4E"/>
    <w:rsid w:val="00AC1AF2"/>
    <w:rsid w:val="00AC1DBB"/>
    <w:rsid w:val="00AC27F9"/>
    <w:rsid w:val="00AC3D5B"/>
    <w:rsid w:val="00AC4D2C"/>
    <w:rsid w:val="00AC5A0A"/>
    <w:rsid w:val="00AC6831"/>
    <w:rsid w:val="00AC6A48"/>
    <w:rsid w:val="00AC762A"/>
    <w:rsid w:val="00AD09E7"/>
    <w:rsid w:val="00AD32FC"/>
    <w:rsid w:val="00AE1060"/>
    <w:rsid w:val="00AE1C7A"/>
    <w:rsid w:val="00AE3577"/>
    <w:rsid w:val="00AE38FD"/>
    <w:rsid w:val="00AE56E4"/>
    <w:rsid w:val="00AE5C5C"/>
    <w:rsid w:val="00AE5EED"/>
    <w:rsid w:val="00AE61E8"/>
    <w:rsid w:val="00AF062F"/>
    <w:rsid w:val="00AF19B1"/>
    <w:rsid w:val="00AF21C4"/>
    <w:rsid w:val="00AF28ED"/>
    <w:rsid w:val="00AF3912"/>
    <w:rsid w:val="00AF5A6E"/>
    <w:rsid w:val="00AF5F9C"/>
    <w:rsid w:val="00AF6837"/>
    <w:rsid w:val="00B0086D"/>
    <w:rsid w:val="00B024C4"/>
    <w:rsid w:val="00B0261D"/>
    <w:rsid w:val="00B03947"/>
    <w:rsid w:val="00B05539"/>
    <w:rsid w:val="00B073EA"/>
    <w:rsid w:val="00B11353"/>
    <w:rsid w:val="00B1209A"/>
    <w:rsid w:val="00B140F7"/>
    <w:rsid w:val="00B159A8"/>
    <w:rsid w:val="00B15F63"/>
    <w:rsid w:val="00B206A9"/>
    <w:rsid w:val="00B216F0"/>
    <w:rsid w:val="00B21E95"/>
    <w:rsid w:val="00B21EB0"/>
    <w:rsid w:val="00B23D58"/>
    <w:rsid w:val="00B23F08"/>
    <w:rsid w:val="00B24258"/>
    <w:rsid w:val="00B244E8"/>
    <w:rsid w:val="00B25C9D"/>
    <w:rsid w:val="00B267E4"/>
    <w:rsid w:val="00B26E93"/>
    <w:rsid w:val="00B30B0A"/>
    <w:rsid w:val="00B31A1F"/>
    <w:rsid w:val="00B31DC6"/>
    <w:rsid w:val="00B3214A"/>
    <w:rsid w:val="00B323ED"/>
    <w:rsid w:val="00B3385F"/>
    <w:rsid w:val="00B340F2"/>
    <w:rsid w:val="00B34A0A"/>
    <w:rsid w:val="00B34BDA"/>
    <w:rsid w:val="00B35699"/>
    <w:rsid w:val="00B3616D"/>
    <w:rsid w:val="00B40120"/>
    <w:rsid w:val="00B402CB"/>
    <w:rsid w:val="00B40B41"/>
    <w:rsid w:val="00B40CF4"/>
    <w:rsid w:val="00B4114F"/>
    <w:rsid w:val="00B4230E"/>
    <w:rsid w:val="00B42DA7"/>
    <w:rsid w:val="00B44960"/>
    <w:rsid w:val="00B463C5"/>
    <w:rsid w:val="00B46567"/>
    <w:rsid w:val="00B50BEE"/>
    <w:rsid w:val="00B51976"/>
    <w:rsid w:val="00B54C29"/>
    <w:rsid w:val="00B5589E"/>
    <w:rsid w:val="00B570AD"/>
    <w:rsid w:val="00B576DE"/>
    <w:rsid w:val="00B57B01"/>
    <w:rsid w:val="00B60059"/>
    <w:rsid w:val="00B610AD"/>
    <w:rsid w:val="00B61256"/>
    <w:rsid w:val="00B61DE0"/>
    <w:rsid w:val="00B646E9"/>
    <w:rsid w:val="00B64F12"/>
    <w:rsid w:val="00B65351"/>
    <w:rsid w:val="00B66D60"/>
    <w:rsid w:val="00B66E1A"/>
    <w:rsid w:val="00B67233"/>
    <w:rsid w:val="00B70DD7"/>
    <w:rsid w:val="00B729D6"/>
    <w:rsid w:val="00B74423"/>
    <w:rsid w:val="00B7476A"/>
    <w:rsid w:val="00B74D2B"/>
    <w:rsid w:val="00B74F50"/>
    <w:rsid w:val="00B7682D"/>
    <w:rsid w:val="00B76B6B"/>
    <w:rsid w:val="00B779C9"/>
    <w:rsid w:val="00B80222"/>
    <w:rsid w:val="00B8312E"/>
    <w:rsid w:val="00B83738"/>
    <w:rsid w:val="00B8382C"/>
    <w:rsid w:val="00B85C2B"/>
    <w:rsid w:val="00B85D66"/>
    <w:rsid w:val="00B86740"/>
    <w:rsid w:val="00B87BD9"/>
    <w:rsid w:val="00B912A2"/>
    <w:rsid w:val="00B92976"/>
    <w:rsid w:val="00B938B9"/>
    <w:rsid w:val="00B9446B"/>
    <w:rsid w:val="00B9516B"/>
    <w:rsid w:val="00B962CA"/>
    <w:rsid w:val="00B96935"/>
    <w:rsid w:val="00B97459"/>
    <w:rsid w:val="00BA0A66"/>
    <w:rsid w:val="00BA20AC"/>
    <w:rsid w:val="00BA20C6"/>
    <w:rsid w:val="00BA36D2"/>
    <w:rsid w:val="00BA6592"/>
    <w:rsid w:val="00BB07DD"/>
    <w:rsid w:val="00BB08F3"/>
    <w:rsid w:val="00BB0A09"/>
    <w:rsid w:val="00BB1433"/>
    <w:rsid w:val="00BB2210"/>
    <w:rsid w:val="00BB2315"/>
    <w:rsid w:val="00BB3145"/>
    <w:rsid w:val="00BB38BA"/>
    <w:rsid w:val="00BB3914"/>
    <w:rsid w:val="00BB4ACD"/>
    <w:rsid w:val="00BB5E51"/>
    <w:rsid w:val="00BC0386"/>
    <w:rsid w:val="00BC06A8"/>
    <w:rsid w:val="00BC09D2"/>
    <w:rsid w:val="00BC114E"/>
    <w:rsid w:val="00BC156F"/>
    <w:rsid w:val="00BC1706"/>
    <w:rsid w:val="00BC1A05"/>
    <w:rsid w:val="00BC1A30"/>
    <w:rsid w:val="00BC2656"/>
    <w:rsid w:val="00BC430E"/>
    <w:rsid w:val="00BC49DC"/>
    <w:rsid w:val="00BC5D2E"/>
    <w:rsid w:val="00BC658B"/>
    <w:rsid w:val="00BC6E17"/>
    <w:rsid w:val="00BC6EA9"/>
    <w:rsid w:val="00BC7DF8"/>
    <w:rsid w:val="00BD3136"/>
    <w:rsid w:val="00BD4CB6"/>
    <w:rsid w:val="00BD585E"/>
    <w:rsid w:val="00BD5EDB"/>
    <w:rsid w:val="00BD622A"/>
    <w:rsid w:val="00BD6CD4"/>
    <w:rsid w:val="00BE0343"/>
    <w:rsid w:val="00BE0470"/>
    <w:rsid w:val="00BE0599"/>
    <w:rsid w:val="00BE199E"/>
    <w:rsid w:val="00BE1DA0"/>
    <w:rsid w:val="00BE1EB3"/>
    <w:rsid w:val="00BE2BFD"/>
    <w:rsid w:val="00BE3B20"/>
    <w:rsid w:val="00BE408A"/>
    <w:rsid w:val="00BE4797"/>
    <w:rsid w:val="00BE53B3"/>
    <w:rsid w:val="00BE6B18"/>
    <w:rsid w:val="00BE711C"/>
    <w:rsid w:val="00BE74BD"/>
    <w:rsid w:val="00BE764D"/>
    <w:rsid w:val="00BF09BA"/>
    <w:rsid w:val="00BF2490"/>
    <w:rsid w:val="00BF26F9"/>
    <w:rsid w:val="00BF4841"/>
    <w:rsid w:val="00BF654E"/>
    <w:rsid w:val="00BF672F"/>
    <w:rsid w:val="00BF6AC2"/>
    <w:rsid w:val="00BF7752"/>
    <w:rsid w:val="00BF77E5"/>
    <w:rsid w:val="00C00381"/>
    <w:rsid w:val="00C010A6"/>
    <w:rsid w:val="00C01AFC"/>
    <w:rsid w:val="00C01B8A"/>
    <w:rsid w:val="00C02FE6"/>
    <w:rsid w:val="00C035F7"/>
    <w:rsid w:val="00C03DCF"/>
    <w:rsid w:val="00C03F14"/>
    <w:rsid w:val="00C03F78"/>
    <w:rsid w:val="00C050DD"/>
    <w:rsid w:val="00C0723C"/>
    <w:rsid w:val="00C10852"/>
    <w:rsid w:val="00C11495"/>
    <w:rsid w:val="00C13300"/>
    <w:rsid w:val="00C135A1"/>
    <w:rsid w:val="00C13E79"/>
    <w:rsid w:val="00C16126"/>
    <w:rsid w:val="00C16319"/>
    <w:rsid w:val="00C168D1"/>
    <w:rsid w:val="00C17B1A"/>
    <w:rsid w:val="00C17BAE"/>
    <w:rsid w:val="00C20176"/>
    <w:rsid w:val="00C217E5"/>
    <w:rsid w:val="00C23414"/>
    <w:rsid w:val="00C234FA"/>
    <w:rsid w:val="00C23592"/>
    <w:rsid w:val="00C23A1A"/>
    <w:rsid w:val="00C23CDE"/>
    <w:rsid w:val="00C23DA6"/>
    <w:rsid w:val="00C24814"/>
    <w:rsid w:val="00C2567C"/>
    <w:rsid w:val="00C257C0"/>
    <w:rsid w:val="00C25F2B"/>
    <w:rsid w:val="00C26070"/>
    <w:rsid w:val="00C26898"/>
    <w:rsid w:val="00C27A93"/>
    <w:rsid w:val="00C31003"/>
    <w:rsid w:val="00C312F0"/>
    <w:rsid w:val="00C31DDF"/>
    <w:rsid w:val="00C3668A"/>
    <w:rsid w:val="00C3729B"/>
    <w:rsid w:val="00C3783F"/>
    <w:rsid w:val="00C379FF"/>
    <w:rsid w:val="00C40144"/>
    <w:rsid w:val="00C40219"/>
    <w:rsid w:val="00C40A64"/>
    <w:rsid w:val="00C449AB"/>
    <w:rsid w:val="00C4565A"/>
    <w:rsid w:val="00C45E48"/>
    <w:rsid w:val="00C47A88"/>
    <w:rsid w:val="00C47DEA"/>
    <w:rsid w:val="00C50ECB"/>
    <w:rsid w:val="00C50F59"/>
    <w:rsid w:val="00C5208D"/>
    <w:rsid w:val="00C53437"/>
    <w:rsid w:val="00C5453E"/>
    <w:rsid w:val="00C55E5C"/>
    <w:rsid w:val="00C575E1"/>
    <w:rsid w:val="00C57665"/>
    <w:rsid w:val="00C605B5"/>
    <w:rsid w:val="00C61A55"/>
    <w:rsid w:val="00C62653"/>
    <w:rsid w:val="00C62E8F"/>
    <w:rsid w:val="00C63177"/>
    <w:rsid w:val="00C63480"/>
    <w:rsid w:val="00C64001"/>
    <w:rsid w:val="00C64BBD"/>
    <w:rsid w:val="00C658E3"/>
    <w:rsid w:val="00C70C93"/>
    <w:rsid w:val="00C7142E"/>
    <w:rsid w:val="00C724CF"/>
    <w:rsid w:val="00C73740"/>
    <w:rsid w:val="00C7434E"/>
    <w:rsid w:val="00C7532A"/>
    <w:rsid w:val="00C77ACA"/>
    <w:rsid w:val="00C80048"/>
    <w:rsid w:val="00C802DD"/>
    <w:rsid w:val="00C8033F"/>
    <w:rsid w:val="00C80F87"/>
    <w:rsid w:val="00C814AC"/>
    <w:rsid w:val="00C83772"/>
    <w:rsid w:val="00C83BF6"/>
    <w:rsid w:val="00C84604"/>
    <w:rsid w:val="00C848D9"/>
    <w:rsid w:val="00C86E47"/>
    <w:rsid w:val="00C9153B"/>
    <w:rsid w:val="00C91971"/>
    <w:rsid w:val="00C91DD3"/>
    <w:rsid w:val="00C92318"/>
    <w:rsid w:val="00C92A94"/>
    <w:rsid w:val="00C932E0"/>
    <w:rsid w:val="00C93CE2"/>
    <w:rsid w:val="00C94080"/>
    <w:rsid w:val="00C94F47"/>
    <w:rsid w:val="00C955F0"/>
    <w:rsid w:val="00C95692"/>
    <w:rsid w:val="00C95C24"/>
    <w:rsid w:val="00C96395"/>
    <w:rsid w:val="00C965AD"/>
    <w:rsid w:val="00C97DB6"/>
    <w:rsid w:val="00CA127A"/>
    <w:rsid w:val="00CA1378"/>
    <w:rsid w:val="00CA1AB8"/>
    <w:rsid w:val="00CA3377"/>
    <w:rsid w:val="00CA354A"/>
    <w:rsid w:val="00CA515E"/>
    <w:rsid w:val="00CA5238"/>
    <w:rsid w:val="00CA5467"/>
    <w:rsid w:val="00CA63BF"/>
    <w:rsid w:val="00CA6BE3"/>
    <w:rsid w:val="00CA6E44"/>
    <w:rsid w:val="00CA7B24"/>
    <w:rsid w:val="00CB0B65"/>
    <w:rsid w:val="00CB1CC2"/>
    <w:rsid w:val="00CB1D62"/>
    <w:rsid w:val="00CB3AA8"/>
    <w:rsid w:val="00CB3B4E"/>
    <w:rsid w:val="00CC0FCC"/>
    <w:rsid w:val="00CC56D7"/>
    <w:rsid w:val="00CC6789"/>
    <w:rsid w:val="00CC7710"/>
    <w:rsid w:val="00CD0467"/>
    <w:rsid w:val="00CD0E3C"/>
    <w:rsid w:val="00CD0F3F"/>
    <w:rsid w:val="00CD13C0"/>
    <w:rsid w:val="00CD187A"/>
    <w:rsid w:val="00CD26BA"/>
    <w:rsid w:val="00CD2F83"/>
    <w:rsid w:val="00CD3E43"/>
    <w:rsid w:val="00CD4418"/>
    <w:rsid w:val="00CD5DEF"/>
    <w:rsid w:val="00CD5EA7"/>
    <w:rsid w:val="00CE0D51"/>
    <w:rsid w:val="00CE5285"/>
    <w:rsid w:val="00CE6494"/>
    <w:rsid w:val="00CF02E5"/>
    <w:rsid w:val="00CF0C41"/>
    <w:rsid w:val="00CF1E76"/>
    <w:rsid w:val="00CF24FE"/>
    <w:rsid w:val="00CF286F"/>
    <w:rsid w:val="00CF67C9"/>
    <w:rsid w:val="00CF6968"/>
    <w:rsid w:val="00CF6B63"/>
    <w:rsid w:val="00CF751F"/>
    <w:rsid w:val="00D00BBD"/>
    <w:rsid w:val="00D00D64"/>
    <w:rsid w:val="00D0128A"/>
    <w:rsid w:val="00D014F1"/>
    <w:rsid w:val="00D019B9"/>
    <w:rsid w:val="00D019C1"/>
    <w:rsid w:val="00D021A9"/>
    <w:rsid w:val="00D02210"/>
    <w:rsid w:val="00D056D0"/>
    <w:rsid w:val="00D1004B"/>
    <w:rsid w:val="00D100FE"/>
    <w:rsid w:val="00D10419"/>
    <w:rsid w:val="00D104D2"/>
    <w:rsid w:val="00D10CBA"/>
    <w:rsid w:val="00D12462"/>
    <w:rsid w:val="00D12F36"/>
    <w:rsid w:val="00D138E0"/>
    <w:rsid w:val="00D13C23"/>
    <w:rsid w:val="00D161EB"/>
    <w:rsid w:val="00D172AA"/>
    <w:rsid w:val="00D208FA"/>
    <w:rsid w:val="00D20A08"/>
    <w:rsid w:val="00D20F52"/>
    <w:rsid w:val="00D22017"/>
    <w:rsid w:val="00D22752"/>
    <w:rsid w:val="00D2326B"/>
    <w:rsid w:val="00D23A2F"/>
    <w:rsid w:val="00D261CB"/>
    <w:rsid w:val="00D26F0C"/>
    <w:rsid w:val="00D310BB"/>
    <w:rsid w:val="00D31330"/>
    <w:rsid w:val="00D31594"/>
    <w:rsid w:val="00D32BCC"/>
    <w:rsid w:val="00D367EF"/>
    <w:rsid w:val="00D420F7"/>
    <w:rsid w:val="00D44693"/>
    <w:rsid w:val="00D44738"/>
    <w:rsid w:val="00D455BA"/>
    <w:rsid w:val="00D4597B"/>
    <w:rsid w:val="00D4603F"/>
    <w:rsid w:val="00D462B4"/>
    <w:rsid w:val="00D50507"/>
    <w:rsid w:val="00D5160A"/>
    <w:rsid w:val="00D51FD8"/>
    <w:rsid w:val="00D53470"/>
    <w:rsid w:val="00D54547"/>
    <w:rsid w:val="00D5530C"/>
    <w:rsid w:val="00D5532C"/>
    <w:rsid w:val="00D55D63"/>
    <w:rsid w:val="00D56297"/>
    <w:rsid w:val="00D56491"/>
    <w:rsid w:val="00D6024E"/>
    <w:rsid w:val="00D61C2E"/>
    <w:rsid w:val="00D62C00"/>
    <w:rsid w:val="00D62C6A"/>
    <w:rsid w:val="00D62D10"/>
    <w:rsid w:val="00D63F5C"/>
    <w:rsid w:val="00D64764"/>
    <w:rsid w:val="00D64D82"/>
    <w:rsid w:val="00D66735"/>
    <w:rsid w:val="00D67814"/>
    <w:rsid w:val="00D71D9C"/>
    <w:rsid w:val="00D74593"/>
    <w:rsid w:val="00D7573A"/>
    <w:rsid w:val="00D75AF5"/>
    <w:rsid w:val="00D76EA7"/>
    <w:rsid w:val="00D77861"/>
    <w:rsid w:val="00D81236"/>
    <w:rsid w:val="00D8194F"/>
    <w:rsid w:val="00D82850"/>
    <w:rsid w:val="00D8290C"/>
    <w:rsid w:val="00D83D9E"/>
    <w:rsid w:val="00D84913"/>
    <w:rsid w:val="00D84B86"/>
    <w:rsid w:val="00D84CA8"/>
    <w:rsid w:val="00D851FC"/>
    <w:rsid w:val="00D85437"/>
    <w:rsid w:val="00D85AE1"/>
    <w:rsid w:val="00D86710"/>
    <w:rsid w:val="00D90B0A"/>
    <w:rsid w:val="00D90F65"/>
    <w:rsid w:val="00D922D9"/>
    <w:rsid w:val="00D93D81"/>
    <w:rsid w:val="00D94167"/>
    <w:rsid w:val="00D966F8"/>
    <w:rsid w:val="00DA0D7E"/>
    <w:rsid w:val="00DA190D"/>
    <w:rsid w:val="00DA297E"/>
    <w:rsid w:val="00DA29DB"/>
    <w:rsid w:val="00DA3316"/>
    <w:rsid w:val="00DA3E96"/>
    <w:rsid w:val="00DA424A"/>
    <w:rsid w:val="00DA52B5"/>
    <w:rsid w:val="00DB0623"/>
    <w:rsid w:val="00DB0733"/>
    <w:rsid w:val="00DB1F92"/>
    <w:rsid w:val="00DB3732"/>
    <w:rsid w:val="00DB438B"/>
    <w:rsid w:val="00DB51D4"/>
    <w:rsid w:val="00DB5D3D"/>
    <w:rsid w:val="00DB62FF"/>
    <w:rsid w:val="00DB792D"/>
    <w:rsid w:val="00DB7B4C"/>
    <w:rsid w:val="00DB7B4F"/>
    <w:rsid w:val="00DB7D97"/>
    <w:rsid w:val="00DC041F"/>
    <w:rsid w:val="00DC051A"/>
    <w:rsid w:val="00DC0CC3"/>
    <w:rsid w:val="00DC0FAB"/>
    <w:rsid w:val="00DC1930"/>
    <w:rsid w:val="00DC1BF6"/>
    <w:rsid w:val="00DC1C83"/>
    <w:rsid w:val="00DC21A3"/>
    <w:rsid w:val="00DC2621"/>
    <w:rsid w:val="00DC3959"/>
    <w:rsid w:val="00DC3DEF"/>
    <w:rsid w:val="00DC5661"/>
    <w:rsid w:val="00DC5BD7"/>
    <w:rsid w:val="00DC7957"/>
    <w:rsid w:val="00DD113F"/>
    <w:rsid w:val="00DD19CD"/>
    <w:rsid w:val="00DD1C8E"/>
    <w:rsid w:val="00DD2F48"/>
    <w:rsid w:val="00DD3577"/>
    <w:rsid w:val="00DD3651"/>
    <w:rsid w:val="00DD3DA1"/>
    <w:rsid w:val="00DD43EB"/>
    <w:rsid w:val="00DD4920"/>
    <w:rsid w:val="00DD49E3"/>
    <w:rsid w:val="00DD54D6"/>
    <w:rsid w:val="00DD60AB"/>
    <w:rsid w:val="00DD7E40"/>
    <w:rsid w:val="00DE23BB"/>
    <w:rsid w:val="00DE47F2"/>
    <w:rsid w:val="00DE50C7"/>
    <w:rsid w:val="00DE5E76"/>
    <w:rsid w:val="00DF0B88"/>
    <w:rsid w:val="00DF16D1"/>
    <w:rsid w:val="00DF2A07"/>
    <w:rsid w:val="00DF4676"/>
    <w:rsid w:val="00DF4727"/>
    <w:rsid w:val="00DF554F"/>
    <w:rsid w:val="00DF590F"/>
    <w:rsid w:val="00DF6217"/>
    <w:rsid w:val="00DF73FE"/>
    <w:rsid w:val="00DF78FA"/>
    <w:rsid w:val="00DF7A13"/>
    <w:rsid w:val="00E00220"/>
    <w:rsid w:val="00E03334"/>
    <w:rsid w:val="00E038DB"/>
    <w:rsid w:val="00E03C2B"/>
    <w:rsid w:val="00E04A28"/>
    <w:rsid w:val="00E058D1"/>
    <w:rsid w:val="00E06CE0"/>
    <w:rsid w:val="00E06D25"/>
    <w:rsid w:val="00E07547"/>
    <w:rsid w:val="00E1113E"/>
    <w:rsid w:val="00E11812"/>
    <w:rsid w:val="00E12B84"/>
    <w:rsid w:val="00E14F9C"/>
    <w:rsid w:val="00E1698F"/>
    <w:rsid w:val="00E200CE"/>
    <w:rsid w:val="00E20DD0"/>
    <w:rsid w:val="00E212F8"/>
    <w:rsid w:val="00E22DE9"/>
    <w:rsid w:val="00E230B8"/>
    <w:rsid w:val="00E24054"/>
    <w:rsid w:val="00E2527D"/>
    <w:rsid w:val="00E25420"/>
    <w:rsid w:val="00E25B1B"/>
    <w:rsid w:val="00E25BCE"/>
    <w:rsid w:val="00E267F1"/>
    <w:rsid w:val="00E26C2A"/>
    <w:rsid w:val="00E30157"/>
    <w:rsid w:val="00E302E4"/>
    <w:rsid w:val="00E321FF"/>
    <w:rsid w:val="00E330E2"/>
    <w:rsid w:val="00E33423"/>
    <w:rsid w:val="00E33689"/>
    <w:rsid w:val="00E34D42"/>
    <w:rsid w:val="00E354D7"/>
    <w:rsid w:val="00E35C18"/>
    <w:rsid w:val="00E371A7"/>
    <w:rsid w:val="00E37E9A"/>
    <w:rsid w:val="00E41896"/>
    <w:rsid w:val="00E41B76"/>
    <w:rsid w:val="00E41EFF"/>
    <w:rsid w:val="00E42EA9"/>
    <w:rsid w:val="00E431D8"/>
    <w:rsid w:val="00E446B6"/>
    <w:rsid w:val="00E44876"/>
    <w:rsid w:val="00E44EA9"/>
    <w:rsid w:val="00E44F87"/>
    <w:rsid w:val="00E4597A"/>
    <w:rsid w:val="00E45D22"/>
    <w:rsid w:val="00E46629"/>
    <w:rsid w:val="00E46E1A"/>
    <w:rsid w:val="00E50311"/>
    <w:rsid w:val="00E5348D"/>
    <w:rsid w:val="00E54F5F"/>
    <w:rsid w:val="00E556EB"/>
    <w:rsid w:val="00E55BFD"/>
    <w:rsid w:val="00E56494"/>
    <w:rsid w:val="00E56990"/>
    <w:rsid w:val="00E6058B"/>
    <w:rsid w:val="00E61699"/>
    <w:rsid w:val="00E6192F"/>
    <w:rsid w:val="00E623C6"/>
    <w:rsid w:val="00E624AE"/>
    <w:rsid w:val="00E6399E"/>
    <w:rsid w:val="00E6420C"/>
    <w:rsid w:val="00E64FFD"/>
    <w:rsid w:val="00E65583"/>
    <w:rsid w:val="00E658BE"/>
    <w:rsid w:val="00E70D8F"/>
    <w:rsid w:val="00E71BF3"/>
    <w:rsid w:val="00E71CDC"/>
    <w:rsid w:val="00E7217A"/>
    <w:rsid w:val="00E73BEF"/>
    <w:rsid w:val="00E74A11"/>
    <w:rsid w:val="00E74D9E"/>
    <w:rsid w:val="00E83DCF"/>
    <w:rsid w:val="00E84F13"/>
    <w:rsid w:val="00E850A5"/>
    <w:rsid w:val="00E8568E"/>
    <w:rsid w:val="00E85C9E"/>
    <w:rsid w:val="00E8781D"/>
    <w:rsid w:val="00E9010F"/>
    <w:rsid w:val="00E907B9"/>
    <w:rsid w:val="00E912E8"/>
    <w:rsid w:val="00E96931"/>
    <w:rsid w:val="00E96BDB"/>
    <w:rsid w:val="00E9765F"/>
    <w:rsid w:val="00EA28B2"/>
    <w:rsid w:val="00EA3AF6"/>
    <w:rsid w:val="00EA448A"/>
    <w:rsid w:val="00EA47E9"/>
    <w:rsid w:val="00EA493A"/>
    <w:rsid w:val="00EA4972"/>
    <w:rsid w:val="00EA4AC2"/>
    <w:rsid w:val="00EA4C48"/>
    <w:rsid w:val="00EA4D18"/>
    <w:rsid w:val="00EA5AAD"/>
    <w:rsid w:val="00EB00B3"/>
    <w:rsid w:val="00EB2871"/>
    <w:rsid w:val="00EB294C"/>
    <w:rsid w:val="00EB3DD0"/>
    <w:rsid w:val="00EB4D83"/>
    <w:rsid w:val="00EB537F"/>
    <w:rsid w:val="00EB630C"/>
    <w:rsid w:val="00EB6A11"/>
    <w:rsid w:val="00EC0871"/>
    <w:rsid w:val="00EC0CC2"/>
    <w:rsid w:val="00EC25EA"/>
    <w:rsid w:val="00EC4443"/>
    <w:rsid w:val="00EC4D9F"/>
    <w:rsid w:val="00EC4F26"/>
    <w:rsid w:val="00EC6AA4"/>
    <w:rsid w:val="00EC6ADB"/>
    <w:rsid w:val="00ED03E2"/>
    <w:rsid w:val="00ED0D28"/>
    <w:rsid w:val="00ED16A2"/>
    <w:rsid w:val="00ED1B3E"/>
    <w:rsid w:val="00ED1DBD"/>
    <w:rsid w:val="00ED22E6"/>
    <w:rsid w:val="00ED2316"/>
    <w:rsid w:val="00ED2383"/>
    <w:rsid w:val="00ED2803"/>
    <w:rsid w:val="00ED3E6B"/>
    <w:rsid w:val="00ED414C"/>
    <w:rsid w:val="00ED45F1"/>
    <w:rsid w:val="00ED4C77"/>
    <w:rsid w:val="00ED4CB7"/>
    <w:rsid w:val="00ED53FF"/>
    <w:rsid w:val="00ED6B75"/>
    <w:rsid w:val="00EE05B7"/>
    <w:rsid w:val="00EE0BE9"/>
    <w:rsid w:val="00EE1689"/>
    <w:rsid w:val="00EE18CC"/>
    <w:rsid w:val="00EE358B"/>
    <w:rsid w:val="00EE38B3"/>
    <w:rsid w:val="00EE3B39"/>
    <w:rsid w:val="00EE3D74"/>
    <w:rsid w:val="00EE4BA9"/>
    <w:rsid w:val="00EE5A29"/>
    <w:rsid w:val="00EE5ECA"/>
    <w:rsid w:val="00EE6CB9"/>
    <w:rsid w:val="00EF0083"/>
    <w:rsid w:val="00EF0C1E"/>
    <w:rsid w:val="00EF1FC9"/>
    <w:rsid w:val="00EF20EF"/>
    <w:rsid w:val="00EF2E14"/>
    <w:rsid w:val="00EF4D9F"/>
    <w:rsid w:val="00EF5667"/>
    <w:rsid w:val="00EF6AC8"/>
    <w:rsid w:val="00EF6F3D"/>
    <w:rsid w:val="00EF7D96"/>
    <w:rsid w:val="00F00388"/>
    <w:rsid w:val="00F01A1A"/>
    <w:rsid w:val="00F01C49"/>
    <w:rsid w:val="00F01D0E"/>
    <w:rsid w:val="00F02225"/>
    <w:rsid w:val="00F02481"/>
    <w:rsid w:val="00F04EDD"/>
    <w:rsid w:val="00F062AF"/>
    <w:rsid w:val="00F068A1"/>
    <w:rsid w:val="00F07298"/>
    <w:rsid w:val="00F07372"/>
    <w:rsid w:val="00F079FF"/>
    <w:rsid w:val="00F112A4"/>
    <w:rsid w:val="00F114BF"/>
    <w:rsid w:val="00F11885"/>
    <w:rsid w:val="00F123BB"/>
    <w:rsid w:val="00F1271B"/>
    <w:rsid w:val="00F12D97"/>
    <w:rsid w:val="00F12DD4"/>
    <w:rsid w:val="00F1383C"/>
    <w:rsid w:val="00F15D2F"/>
    <w:rsid w:val="00F17110"/>
    <w:rsid w:val="00F200A8"/>
    <w:rsid w:val="00F2016A"/>
    <w:rsid w:val="00F21451"/>
    <w:rsid w:val="00F2222B"/>
    <w:rsid w:val="00F22C69"/>
    <w:rsid w:val="00F240C8"/>
    <w:rsid w:val="00F25602"/>
    <w:rsid w:val="00F26DB7"/>
    <w:rsid w:val="00F26FD4"/>
    <w:rsid w:val="00F27DB2"/>
    <w:rsid w:val="00F32287"/>
    <w:rsid w:val="00F332DA"/>
    <w:rsid w:val="00F34EED"/>
    <w:rsid w:val="00F35496"/>
    <w:rsid w:val="00F35735"/>
    <w:rsid w:val="00F35AF2"/>
    <w:rsid w:val="00F35F87"/>
    <w:rsid w:val="00F37049"/>
    <w:rsid w:val="00F44351"/>
    <w:rsid w:val="00F444D8"/>
    <w:rsid w:val="00F445F4"/>
    <w:rsid w:val="00F502C2"/>
    <w:rsid w:val="00F50D20"/>
    <w:rsid w:val="00F517DB"/>
    <w:rsid w:val="00F52E85"/>
    <w:rsid w:val="00F52F7C"/>
    <w:rsid w:val="00F5301B"/>
    <w:rsid w:val="00F5330F"/>
    <w:rsid w:val="00F536D7"/>
    <w:rsid w:val="00F542CA"/>
    <w:rsid w:val="00F5656C"/>
    <w:rsid w:val="00F56DEC"/>
    <w:rsid w:val="00F60C37"/>
    <w:rsid w:val="00F61610"/>
    <w:rsid w:val="00F61C06"/>
    <w:rsid w:val="00F63692"/>
    <w:rsid w:val="00F64EF1"/>
    <w:rsid w:val="00F7188C"/>
    <w:rsid w:val="00F7223C"/>
    <w:rsid w:val="00F72607"/>
    <w:rsid w:val="00F77636"/>
    <w:rsid w:val="00F77B15"/>
    <w:rsid w:val="00F810B9"/>
    <w:rsid w:val="00F81E04"/>
    <w:rsid w:val="00F85597"/>
    <w:rsid w:val="00F857A2"/>
    <w:rsid w:val="00F86C1C"/>
    <w:rsid w:val="00F87522"/>
    <w:rsid w:val="00F90E4D"/>
    <w:rsid w:val="00F93C55"/>
    <w:rsid w:val="00F947BC"/>
    <w:rsid w:val="00F97246"/>
    <w:rsid w:val="00F97404"/>
    <w:rsid w:val="00F97B73"/>
    <w:rsid w:val="00F97CBA"/>
    <w:rsid w:val="00F97D0A"/>
    <w:rsid w:val="00FA0450"/>
    <w:rsid w:val="00FA1349"/>
    <w:rsid w:val="00FA137A"/>
    <w:rsid w:val="00FA259F"/>
    <w:rsid w:val="00FA2C85"/>
    <w:rsid w:val="00FA402D"/>
    <w:rsid w:val="00FA7458"/>
    <w:rsid w:val="00FA7970"/>
    <w:rsid w:val="00FB45EB"/>
    <w:rsid w:val="00FB5DD6"/>
    <w:rsid w:val="00FB6F27"/>
    <w:rsid w:val="00FB766D"/>
    <w:rsid w:val="00FC1318"/>
    <w:rsid w:val="00FC18B0"/>
    <w:rsid w:val="00FC24C4"/>
    <w:rsid w:val="00FC3281"/>
    <w:rsid w:val="00FC45B3"/>
    <w:rsid w:val="00FC4EDB"/>
    <w:rsid w:val="00FC5848"/>
    <w:rsid w:val="00FC59EF"/>
    <w:rsid w:val="00FC60EB"/>
    <w:rsid w:val="00FC6B5A"/>
    <w:rsid w:val="00FD1104"/>
    <w:rsid w:val="00FD3321"/>
    <w:rsid w:val="00FD5D87"/>
    <w:rsid w:val="00FD76F7"/>
    <w:rsid w:val="00FD77DC"/>
    <w:rsid w:val="00FD7B15"/>
    <w:rsid w:val="00FD7BB4"/>
    <w:rsid w:val="00FE0797"/>
    <w:rsid w:val="00FE0B13"/>
    <w:rsid w:val="00FE273B"/>
    <w:rsid w:val="00FE2FD2"/>
    <w:rsid w:val="00FE3589"/>
    <w:rsid w:val="00FE5AA9"/>
    <w:rsid w:val="00FE60F5"/>
    <w:rsid w:val="00FE6AE1"/>
    <w:rsid w:val="00FE6B77"/>
    <w:rsid w:val="00FF1DF0"/>
    <w:rsid w:val="00FF2E14"/>
    <w:rsid w:val="00FF544E"/>
    <w:rsid w:val="00FF574B"/>
    <w:rsid w:val="00FF57B7"/>
    <w:rsid w:val="00FF5B8F"/>
    <w:rsid w:val="00FF7E0E"/>
    <w:rsid w:val="043500D9"/>
    <w:rsid w:val="05E85E25"/>
    <w:rsid w:val="0C1323BF"/>
    <w:rsid w:val="1BEF6EDB"/>
    <w:rsid w:val="1D11118F"/>
    <w:rsid w:val="1E494954"/>
    <w:rsid w:val="248C0222"/>
    <w:rsid w:val="330233F8"/>
    <w:rsid w:val="39B659B0"/>
    <w:rsid w:val="3ADB151D"/>
    <w:rsid w:val="3C583857"/>
    <w:rsid w:val="3D1D2FD0"/>
    <w:rsid w:val="519B2F68"/>
    <w:rsid w:val="5AA63C8A"/>
    <w:rsid w:val="5F9B066B"/>
    <w:rsid w:val="603115BA"/>
    <w:rsid w:val="611A7636"/>
    <w:rsid w:val="632D72BB"/>
    <w:rsid w:val="6492572C"/>
    <w:rsid w:val="6767374C"/>
    <w:rsid w:val="6880390E"/>
    <w:rsid w:val="699052B2"/>
    <w:rsid w:val="6A261ACA"/>
    <w:rsid w:val="74765863"/>
    <w:rsid w:val="7BA71A08"/>
    <w:rsid w:val="7FFF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4"/>
    <w:qFormat/>
    <w:uiPriority w:val="9"/>
    <w:pPr>
      <w:keepNext/>
      <w:keepLines/>
      <w:spacing w:before="50" w:beforeLines="50" w:after="50" w:afterLines="50" w:line="600" w:lineRule="exact"/>
      <w:ind w:firstLine="0" w:firstLineChars="0"/>
      <w:jc w:val="center"/>
      <w:outlineLvl w:val="0"/>
    </w:pPr>
    <w:rPr>
      <w:rFonts w:eastAsia="黑体" w:asciiTheme="minorHAnsi" w:hAnsiTheme="minorHAnsi" w:cstheme="minorBidi"/>
      <w:bCs/>
      <w:kern w:val="44"/>
      <w:szCs w:val="44"/>
    </w:rPr>
  </w:style>
  <w:style w:type="paragraph" w:styleId="3">
    <w:name w:val="heading 2"/>
    <w:basedOn w:val="1"/>
    <w:next w:val="1"/>
    <w:link w:val="35"/>
    <w:unhideWhenUsed/>
    <w:qFormat/>
    <w:uiPriority w:val="9"/>
    <w:pPr>
      <w:keepNext/>
      <w:keepLines/>
      <w:spacing w:line="600" w:lineRule="exact"/>
      <w:jc w:val="left"/>
      <w:outlineLvl w:val="1"/>
    </w:pPr>
    <w:rPr>
      <w:rFonts w:asciiTheme="majorHAnsi" w:hAnsiTheme="majorHAnsi" w:cstheme="majorBidi"/>
      <w:b/>
      <w:bCs/>
      <w:szCs w:val="32"/>
    </w:rPr>
  </w:style>
  <w:style w:type="paragraph" w:styleId="4">
    <w:name w:val="heading 3"/>
    <w:basedOn w:val="1"/>
    <w:next w:val="1"/>
    <w:link w:val="37"/>
    <w:unhideWhenUsed/>
    <w:qFormat/>
    <w:uiPriority w:val="9"/>
    <w:pPr>
      <w:keepNext/>
      <w:keepLines/>
      <w:spacing w:before="120" w:after="120"/>
      <w:jc w:val="left"/>
      <w:outlineLvl w:val="2"/>
    </w:pPr>
    <w:rPr>
      <w:rFonts w:asciiTheme="minorHAnsi" w:hAnsiTheme="minorHAnsi" w:cstheme="minorBidi"/>
      <w:bCs/>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Document Map"/>
    <w:basedOn w:val="1"/>
    <w:link w:val="45"/>
    <w:unhideWhenUsed/>
    <w:qFormat/>
    <w:uiPriority w:val="99"/>
    <w:pPr>
      <w:ind w:firstLine="0" w:firstLineChars="0"/>
    </w:pPr>
    <w:rPr>
      <w:rFonts w:ascii="宋体" w:hAnsiTheme="minorHAnsi" w:eastAsiaTheme="minorEastAsia" w:cstheme="minorBidi"/>
      <w:sz w:val="18"/>
      <w:szCs w:val="18"/>
    </w:rPr>
  </w:style>
  <w:style w:type="paragraph" w:styleId="6">
    <w:name w:val="annotation text"/>
    <w:basedOn w:val="1"/>
    <w:link w:val="39"/>
    <w:qFormat/>
    <w:uiPriority w:val="99"/>
    <w:pPr>
      <w:ind w:firstLine="0" w:firstLineChars="0"/>
      <w:jc w:val="left"/>
    </w:pPr>
    <w:rPr>
      <w:rFonts w:eastAsia="宋体"/>
      <w:sz w:val="21"/>
    </w:rPr>
  </w:style>
  <w:style w:type="paragraph" w:styleId="7">
    <w:name w:val="Body Text"/>
    <w:basedOn w:val="1"/>
    <w:link w:val="88"/>
    <w:semiHidden/>
    <w:unhideWhenUsed/>
    <w:qFormat/>
    <w:uiPriority w:val="99"/>
    <w:pPr>
      <w:spacing w:after="120"/>
    </w:pPr>
  </w:style>
  <w:style w:type="paragraph" w:styleId="8">
    <w:name w:val="Body Text Indent"/>
    <w:basedOn w:val="1"/>
    <w:link w:val="42"/>
    <w:qFormat/>
    <w:uiPriority w:val="0"/>
    <w:pPr>
      <w:tabs>
        <w:tab w:val="left" w:pos="420"/>
      </w:tabs>
      <w:ind w:left="735" w:leftChars="157" w:hanging="405" w:firstLineChars="0"/>
    </w:pPr>
    <w:rPr>
      <w:rFonts w:ascii="仿宋_GB2312"/>
      <w:sz w:val="28"/>
    </w:rPr>
  </w:style>
  <w:style w:type="paragraph" w:styleId="9">
    <w:name w:val="toc 3"/>
    <w:basedOn w:val="1"/>
    <w:next w:val="1"/>
    <w:semiHidden/>
    <w:qFormat/>
    <w:uiPriority w:val="0"/>
    <w:pPr>
      <w:ind w:left="840" w:leftChars="400" w:firstLine="0" w:firstLineChars="0"/>
    </w:pPr>
    <w:rPr>
      <w:rFonts w:eastAsia="宋体"/>
      <w:sz w:val="21"/>
    </w:rPr>
  </w:style>
  <w:style w:type="paragraph" w:styleId="10">
    <w:name w:val="Plain Text"/>
    <w:basedOn w:val="1"/>
    <w:link w:val="38"/>
    <w:qFormat/>
    <w:uiPriority w:val="99"/>
    <w:pPr>
      <w:ind w:firstLine="0" w:firstLineChars="0"/>
    </w:pPr>
    <w:rPr>
      <w:rFonts w:ascii="宋体" w:hAnsi="Courier New" w:eastAsia="宋体" w:cs="Courier New"/>
      <w:sz w:val="21"/>
      <w:szCs w:val="21"/>
    </w:rPr>
  </w:style>
  <w:style w:type="paragraph" w:styleId="11">
    <w:name w:val="Date"/>
    <w:basedOn w:val="1"/>
    <w:next w:val="1"/>
    <w:link w:val="40"/>
    <w:unhideWhenUsed/>
    <w:qFormat/>
    <w:uiPriority w:val="99"/>
    <w:pPr>
      <w:ind w:left="100" w:leftChars="2500"/>
    </w:pPr>
  </w:style>
  <w:style w:type="paragraph" w:styleId="12">
    <w:name w:val="Body Text Indent 2"/>
    <w:basedOn w:val="1"/>
    <w:link w:val="43"/>
    <w:qFormat/>
    <w:uiPriority w:val="0"/>
    <w:pPr>
      <w:ind w:left="313" w:leftChars="149" w:firstLine="0" w:firstLineChars="0"/>
    </w:pPr>
    <w:rPr>
      <w:rFonts w:ascii="仿宋_GB2312"/>
      <w:sz w:val="28"/>
    </w:rPr>
  </w:style>
  <w:style w:type="paragraph" w:styleId="13">
    <w:name w:val="Balloon Text"/>
    <w:basedOn w:val="1"/>
    <w:link w:val="32"/>
    <w:unhideWhenUsed/>
    <w:qFormat/>
    <w:uiPriority w:val="99"/>
    <w:rPr>
      <w:rFonts w:asciiTheme="minorHAnsi" w:hAnsiTheme="minorHAnsi" w:eastAsiaTheme="minorEastAsia" w:cstheme="minorBidi"/>
      <w:sz w:val="18"/>
      <w:szCs w:val="18"/>
    </w:rPr>
  </w:style>
  <w:style w:type="paragraph" w:styleId="14">
    <w:name w:val="footer"/>
    <w:basedOn w:val="1"/>
    <w:link w:val="3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unhideWhenUsed/>
    <w:qFormat/>
    <w:uiPriority w:val="39"/>
  </w:style>
  <w:style w:type="paragraph" w:styleId="17">
    <w:name w:val="Body Text Indent 3"/>
    <w:basedOn w:val="1"/>
    <w:link w:val="44"/>
    <w:semiHidden/>
    <w:qFormat/>
    <w:uiPriority w:val="0"/>
    <w:pPr>
      <w:ind w:left="420" w:leftChars="200" w:firstLine="0" w:firstLineChars="0"/>
    </w:pPr>
    <w:rPr>
      <w:rFonts w:ascii="仿宋_GB2312"/>
      <w:sz w:val="28"/>
    </w:rPr>
  </w:style>
  <w:style w:type="paragraph" w:styleId="18">
    <w:name w:val="toc 2"/>
    <w:basedOn w:val="1"/>
    <w:next w:val="1"/>
    <w:unhideWhenUsed/>
    <w:qFormat/>
    <w:uiPriority w:val="39"/>
    <w:pPr>
      <w:tabs>
        <w:tab w:val="left" w:pos="1830"/>
        <w:tab w:val="right" w:leader="dot" w:pos="8296"/>
      </w:tabs>
      <w:ind w:left="480" w:leftChars="200" w:firstLine="480"/>
    </w:pPr>
  </w:style>
  <w:style w:type="paragraph" w:styleId="19">
    <w:name w:val="Normal (Web)"/>
    <w:basedOn w:val="1"/>
    <w:qFormat/>
    <w:uiPriority w:val="99"/>
    <w:pPr>
      <w:widowControl/>
      <w:spacing w:before="100" w:beforeAutospacing="1" w:after="100" w:afterAutospacing="1"/>
      <w:ind w:firstLine="0" w:firstLineChars="0"/>
      <w:jc w:val="left"/>
    </w:pPr>
    <w:rPr>
      <w:rFonts w:ascii="宋体" w:hAnsi="宋体" w:cs="宋体"/>
      <w:kern w:val="0"/>
    </w:rPr>
  </w:style>
  <w:style w:type="paragraph" w:styleId="20">
    <w:name w:val="Title"/>
    <w:basedOn w:val="1"/>
    <w:next w:val="1"/>
    <w:link w:val="36"/>
    <w:qFormat/>
    <w:uiPriority w:val="10"/>
    <w:pPr>
      <w:spacing w:before="240" w:after="60"/>
      <w:jc w:val="center"/>
      <w:outlineLvl w:val="0"/>
    </w:pPr>
    <w:rPr>
      <w:rFonts w:eastAsia="宋体" w:asciiTheme="majorHAnsi" w:hAnsiTheme="majorHAnsi" w:cstheme="majorBidi"/>
      <w:b/>
      <w:bCs/>
      <w:szCs w:val="32"/>
    </w:rPr>
  </w:style>
  <w:style w:type="paragraph" w:styleId="21">
    <w:name w:val="annotation subject"/>
    <w:basedOn w:val="6"/>
    <w:next w:val="6"/>
    <w:link w:val="64"/>
    <w:semiHidden/>
    <w:unhideWhenUsed/>
    <w:qFormat/>
    <w:uiPriority w:val="99"/>
    <w:pPr>
      <w:spacing w:line="360" w:lineRule="auto"/>
      <w:ind w:firstLine="200" w:firstLineChars="200"/>
    </w:pPr>
    <w:rPr>
      <w:rFonts w:eastAsia="仿宋"/>
      <w:b/>
      <w:bCs/>
      <w:sz w:val="24"/>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FollowedHyperlink"/>
    <w:basedOn w:val="24"/>
    <w:semiHidden/>
    <w:unhideWhenUsed/>
    <w:qFormat/>
    <w:uiPriority w:val="99"/>
    <w:rPr>
      <w:color w:val="800080"/>
      <w:u w:val="single"/>
    </w:rPr>
  </w:style>
  <w:style w:type="character" w:styleId="27">
    <w:name w:val="Hyperlink"/>
    <w:basedOn w:val="24"/>
    <w:unhideWhenUsed/>
    <w:qFormat/>
    <w:uiPriority w:val="99"/>
    <w:rPr>
      <w:color w:val="0000FF" w:themeColor="hyperlink"/>
      <w:u w:val="single"/>
      <w14:textFill>
        <w14:solidFill>
          <w14:schemeClr w14:val="hlink"/>
        </w14:solidFill>
      </w14:textFill>
    </w:rPr>
  </w:style>
  <w:style w:type="character" w:styleId="28">
    <w:name w:val="annotation reference"/>
    <w:basedOn w:val="24"/>
    <w:semiHidden/>
    <w:unhideWhenUsed/>
    <w:qFormat/>
    <w:uiPriority w:val="99"/>
    <w:rPr>
      <w:sz w:val="21"/>
      <w:szCs w:val="21"/>
    </w:rPr>
  </w:style>
  <w:style w:type="paragraph" w:customStyle="1" w:styleId="29">
    <w:name w:val="正文标题"/>
    <w:basedOn w:val="20"/>
    <w:qFormat/>
    <w:uiPriority w:val="0"/>
    <w:rPr>
      <w:rFonts w:eastAsia="仿宋_GB2312"/>
      <w:b w:val="0"/>
    </w:rPr>
  </w:style>
  <w:style w:type="character" w:customStyle="1" w:styleId="30">
    <w:name w:val="页眉 字符"/>
    <w:basedOn w:val="24"/>
    <w:link w:val="15"/>
    <w:qFormat/>
    <w:uiPriority w:val="99"/>
    <w:rPr>
      <w:sz w:val="18"/>
      <w:szCs w:val="18"/>
    </w:rPr>
  </w:style>
  <w:style w:type="character" w:customStyle="1" w:styleId="31">
    <w:name w:val="页脚 字符"/>
    <w:basedOn w:val="24"/>
    <w:link w:val="14"/>
    <w:qFormat/>
    <w:uiPriority w:val="99"/>
    <w:rPr>
      <w:sz w:val="18"/>
      <w:szCs w:val="18"/>
    </w:rPr>
  </w:style>
  <w:style w:type="character" w:customStyle="1" w:styleId="32">
    <w:name w:val="批注框文本 字符"/>
    <w:basedOn w:val="24"/>
    <w:link w:val="13"/>
    <w:qFormat/>
    <w:uiPriority w:val="99"/>
    <w:rPr>
      <w:sz w:val="18"/>
      <w:szCs w:val="18"/>
    </w:rPr>
  </w:style>
  <w:style w:type="paragraph" w:styleId="33">
    <w:name w:val="List Paragraph"/>
    <w:basedOn w:val="1"/>
    <w:qFormat/>
    <w:uiPriority w:val="34"/>
    <w:rPr>
      <w:rFonts w:asciiTheme="minorHAnsi" w:hAnsiTheme="minorHAnsi" w:cstheme="minorBidi"/>
      <w:szCs w:val="22"/>
    </w:rPr>
  </w:style>
  <w:style w:type="character" w:customStyle="1" w:styleId="34">
    <w:name w:val="标题 1 字符1"/>
    <w:basedOn w:val="24"/>
    <w:link w:val="2"/>
    <w:qFormat/>
    <w:uiPriority w:val="9"/>
    <w:rPr>
      <w:rFonts w:eastAsia="黑体" w:asciiTheme="minorHAnsi" w:hAnsiTheme="minorHAnsi"/>
      <w:bCs/>
      <w:kern w:val="44"/>
      <w:sz w:val="32"/>
      <w:szCs w:val="44"/>
    </w:rPr>
  </w:style>
  <w:style w:type="character" w:customStyle="1" w:styleId="35">
    <w:name w:val="标题 2 字符1"/>
    <w:basedOn w:val="24"/>
    <w:link w:val="3"/>
    <w:qFormat/>
    <w:uiPriority w:val="9"/>
    <w:rPr>
      <w:rFonts w:eastAsia="仿宋_GB2312" w:asciiTheme="majorHAnsi" w:hAnsiTheme="majorHAnsi" w:cstheme="majorBidi"/>
      <w:b/>
      <w:bCs/>
      <w:sz w:val="32"/>
      <w:szCs w:val="32"/>
    </w:rPr>
  </w:style>
  <w:style w:type="character" w:customStyle="1" w:styleId="36">
    <w:name w:val="标题 字符"/>
    <w:basedOn w:val="24"/>
    <w:link w:val="20"/>
    <w:qFormat/>
    <w:uiPriority w:val="10"/>
    <w:rPr>
      <w:rFonts w:eastAsia="宋体" w:asciiTheme="majorHAnsi" w:hAnsiTheme="majorHAnsi" w:cstheme="majorBidi"/>
      <w:b/>
      <w:bCs/>
      <w:sz w:val="32"/>
      <w:szCs w:val="32"/>
    </w:rPr>
  </w:style>
  <w:style w:type="character" w:customStyle="1" w:styleId="37">
    <w:name w:val="标题 3 字符1"/>
    <w:basedOn w:val="24"/>
    <w:link w:val="4"/>
    <w:qFormat/>
    <w:uiPriority w:val="9"/>
    <w:rPr>
      <w:rFonts w:eastAsia="华文楷体"/>
      <w:bCs/>
      <w:sz w:val="24"/>
      <w:szCs w:val="32"/>
    </w:rPr>
  </w:style>
  <w:style w:type="character" w:customStyle="1" w:styleId="38">
    <w:name w:val="纯文本 字符"/>
    <w:basedOn w:val="24"/>
    <w:link w:val="10"/>
    <w:qFormat/>
    <w:uiPriority w:val="0"/>
    <w:rPr>
      <w:rFonts w:ascii="宋体" w:hAnsi="Courier New" w:eastAsia="宋体" w:cs="Courier New"/>
      <w:szCs w:val="21"/>
    </w:rPr>
  </w:style>
  <w:style w:type="character" w:customStyle="1" w:styleId="39">
    <w:name w:val="批注文字 字符"/>
    <w:basedOn w:val="24"/>
    <w:link w:val="6"/>
    <w:semiHidden/>
    <w:qFormat/>
    <w:uiPriority w:val="99"/>
    <w:rPr>
      <w:rFonts w:ascii="Times New Roman" w:hAnsi="Times New Roman" w:eastAsia="宋体" w:cs="Times New Roman"/>
      <w:szCs w:val="24"/>
    </w:rPr>
  </w:style>
  <w:style w:type="character" w:customStyle="1" w:styleId="40">
    <w:name w:val="日期 字符"/>
    <w:basedOn w:val="24"/>
    <w:link w:val="11"/>
    <w:semiHidden/>
    <w:qFormat/>
    <w:uiPriority w:val="99"/>
    <w:rPr>
      <w:rFonts w:ascii="Times New Roman" w:hAnsi="Times New Roman" w:eastAsia="仿宋" w:cs="Times New Roman"/>
      <w:sz w:val="24"/>
      <w:szCs w:val="24"/>
    </w:rPr>
  </w:style>
  <w:style w:type="character" w:customStyle="1" w:styleId="41">
    <w:name w:val="纯文本 Char"/>
    <w:qFormat/>
    <w:uiPriority w:val="0"/>
    <w:rPr>
      <w:rFonts w:ascii="宋体" w:hAnsi="Courier New" w:cs="Courier New"/>
      <w:kern w:val="2"/>
      <w:sz w:val="21"/>
      <w:szCs w:val="21"/>
    </w:rPr>
  </w:style>
  <w:style w:type="character" w:customStyle="1" w:styleId="42">
    <w:name w:val="正文文本缩进 字符"/>
    <w:basedOn w:val="24"/>
    <w:link w:val="8"/>
    <w:qFormat/>
    <w:uiPriority w:val="0"/>
    <w:rPr>
      <w:rFonts w:ascii="仿宋_GB2312" w:hAnsi="Times New Roman" w:eastAsia="仿宋_GB2312" w:cs="Times New Roman"/>
      <w:sz w:val="28"/>
      <w:szCs w:val="24"/>
    </w:rPr>
  </w:style>
  <w:style w:type="character" w:customStyle="1" w:styleId="43">
    <w:name w:val="正文文本缩进 2 字符"/>
    <w:basedOn w:val="24"/>
    <w:link w:val="12"/>
    <w:qFormat/>
    <w:uiPriority w:val="0"/>
    <w:rPr>
      <w:rFonts w:ascii="仿宋_GB2312" w:hAnsi="Times New Roman" w:eastAsia="仿宋_GB2312" w:cs="Times New Roman"/>
      <w:sz w:val="28"/>
      <w:szCs w:val="24"/>
    </w:rPr>
  </w:style>
  <w:style w:type="character" w:customStyle="1" w:styleId="44">
    <w:name w:val="正文文本缩进 3 字符"/>
    <w:basedOn w:val="24"/>
    <w:link w:val="17"/>
    <w:semiHidden/>
    <w:qFormat/>
    <w:uiPriority w:val="0"/>
    <w:rPr>
      <w:rFonts w:ascii="仿宋_GB2312" w:hAnsi="Times New Roman" w:eastAsia="仿宋_GB2312" w:cs="Times New Roman"/>
      <w:sz w:val="28"/>
      <w:szCs w:val="24"/>
    </w:rPr>
  </w:style>
  <w:style w:type="character" w:customStyle="1" w:styleId="45">
    <w:name w:val="文档结构图 字符"/>
    <w:basedOn w:val="24"/>
    <w:link w:val="5"/>
    <w:qFormat/>
    <w:uiPriority w:val="99"/>
    <w:rPr>
      <w:rFonts w:ascii="宋体"/>
      <w:sz w:val="18"/>
      <w:szCs w:val="18"/>
    </w:rPr>
  </w:style>
  <w:style w:type="character" w:customStyle="1" w:styleId="46">
    <w:name w:val="批注框文本 Char1"/>
    <w:basedOn w:val="24"/>
    <w:semiHidden/>
    <w:qFormat/>
    <w:uiPriority w:val="99"/>
    <w:rPr>
      <w:rFonts w:eastAsia="仿宋_GB2312"/>
      <w:kern w:val="2"/>
      <w:sz w:val="18"/>
      <w:szCs w:val="18"/>
    </w:rPr>
  </w:style>
  <w:style w:type="character" w:customStyle="1" w:styleId="47">
    <w:name w:val="正文文本缩进 Char1"/>
    <w:basedOn w:val="24"/>
    <w:semiHidden/>
    <w:qFormat/>
    <w:uiPriority w:val="99"/>
    <w:rPr>
      <w:rFonts w:eastAsia="仿宋_GB2312"/>
      <w:kern w:val="2"/>
      <w:sz w:val="32"/>
      <w:szCs w:val="22"/>
    </w:rPr>
  </w:style>
  <w:style w:type="character" w:customStyle="1" w:styleId="48">
    <w:name w:val="正文文本缩进 2 Char1"/>
    <w:basedOn w:val="24"/>
    <w:semiHidden/>
    <w:qFormat/>
    <w:uiPriority w:val="99"/>
    <w:rPr>
      <w:rFonts w:eastAsia="仿宋_GB2312"/>
      <w:kern w:val="2"/>
      <w:sz w:val="32"/>
      <w:szCs w:val="22"/>
    </w:rPr>
  </w:style>
  <w:style w:type="character" w:customStyle="1" w:styleId="49">
    <w:name w:val="文档结构图 Char1"/>
    <w:basedOn w:val="24"/>
    <w:semiHidden/>
    <w:qFormat/>
    <w:uiPriority w:val="99"/>
    <w:rPr>
      <w:rFonts w:ascii="Microsoft YaHei UI" w:hAnsi="Times New Roman" w:eastAsia="Microsoft YaHei UI" w:cs="Times New Roman"/>
      <w:sz w:val="18"/>
      <w:szCs w:val="18"/>
    </w:rPr>
  </w:style>
  <w:style w:type="paragraph" w:customStyle="1" w:styleId="50">
    <w:name w:val="列出段落1"/>
    <w:basedOn w:val="1"/>
    <w:qFormat/>
    <w:uiPriority w:val="34"/>
    <w:pPr>
      <w:ind w:firstLine="420"/>
    </w:pPr>
  </w:style>
  <w:style w:type="paragraph" w:customStyle="1" w:styleId="5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2">
    <w:name w:val="样式标题"/>
    <w:basedOn w:val="1"/>
    <w:qFormat/>
    <w:uiPriority w:val="0"/>
    <w:pPr>
      <w:widowControl/>
      <w:numPr>
        <w:ilvl w:val="0"/>
        <w:numId w:val="1"/>
      </w:numPr>
      <w:ind w:left="1413" w:firstLine="0" w:firstLineChars="0"/>
      <w:jc w:val="left"/>
    </w:pPr>
    <w:rPr>
      <w:rFonts w:eastAsia="宋体"/>
      <w:sz w:val="21"/>
    </w:rPr>
  </w:style>
  <w:style w:type="paragraph" w:customStyle="1" w:styleId="53">
    <w:name w:val="reader-word-layer"/>
    <w:basedOn w:val="1"/>
    <w:qFormat/>
    <w:uiPriority w:val="0"/>
    <w:pPr>
      <w:widowControl/>
      <w:spacing w:before="100" w:beforeAutospacing="1" w:after="100" w:afterAutospacing="1"/>
      <w:ind w:firstLine="0" w:firstLineChars="0"/>
      <w:jc w:val="left"/>
    </w:pPr>
    <w:rPr>
      <w:rFonts w:ascii="宋体" w:hAnsi="宋体" w:eastAsia="宋体" w:cs="宋体"/>
      <w:kern w:val="0"/>
    </w:rPr>
  </w:style>
  <w:style w:type="paragraph" w:customStyle="1" w:styleId="54">
    <w:name w:val="K&amp;W heading 3"/>
    <w:basedOn w:val="1"/>
    <w:qFormat/>
    <w:uiPriority w:val="0"/>
    <w:pPr>
      <w:tabs>
        <w:tab w:val="left" w:pos="0"/>
      </w:tabs>
      <w:ind w:firstLine="0" w:firstLineChars="0"/>
    </w:pPr>
  </w:style>
  <w:style w:type="paragraph" w:customStyle="1" w:styleId="55">
    <w:name w:val="Char Char Char"/>
    <w:basedOn w:val="1"/>
    <w:next w:val="1"/>
    <w:qFormat/>
    <w:uiPriority w:val="0"/>
    <w:pPr>
      <w:shd w:val="clear" w:color="auto" w:fill="000080"/>
      <w:ind w:firstLine="0" w:firstLineChars="0"/>
    </w:pPr>
  </w:style>
  <w:style w:type="paragraph" w:customStyle="1" w:styleId="56">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
    <w:name w:val="K&amp;W heading 2"/>
    <w:basedOn w:val="1"/>
    <w:qFormat/>
    <w:uiPriority w:val="0"/>
    <w:pPr>
      <w:tabs>
        <w:tab w:val="left" w:pos="0"/>
      </w:tabs>
      <w:ind w:firstLine="0" w:firstLineChars="0"/>
    </w:pPr>
  </w:style>
  <w:style w:type="paragraph" w:customStyle="1" w:styleId="58">
    <w:name w:val="列出段落2"/>
    <w:basedOn w:val="1"/>
    <w:qFormat/>
    <w:uiPriority w:val="34"/>
    <w:pPr>
      <w:ind w:firstLine="420"/>
    </w:pPr>
  </w:style>
  <w:style w:type="table" w:customStyle="1" w:styleId="59">
    <w:name w:val="网格型3"/>
    <w:basedOn w:val="22"/>
    <w:qFormat/>
    <w:uiPriority w:val="59"/>
    <w:rPr>
      <w:rFonts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0">
    <w:name w:val="网格型2"/>
    <w:basedOn w:val="22"/>
    <w:qFormat/>
    <w:uiPriority w:val="0"/>
    <w:rPr>
      <w:rFonts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1">
    <w:name w:val="网格型1"/>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
    <w:name w:val="网格型4"/>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3">
    <w:name w:val="网格型5"/>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4">
    <w:name w:val="批注主题 字符"/>
    <w:basedOn w:val="39"/>
    <w:link w:val="21"/>
    <w:semiHidden/>
    <w:qFormat/>
    <w:uiPriority w:val="99"/>
    <w:rPr>
      <w:rFonts w:ascii="Times New Roman" w:hAnsi="Times New Roman" w:eastAsia="仿宋" w:cs="Times New Roman"/>
      <w:b/>
      <w:bCs/>
      <w:sz w:val="24"/>
      <w:szCs w:val="24"/>
    </w:rPr>
  </w:style>
  <w:style w:type="character" w:customStyle="1" w:styleId="65">
    <w:name w:val="Other|1_"/>
    <w:basedOn w:val="24"/>
    <w:link w:val="66"/>
    <w:qFormat/>
    <w:uiPriority w:val="0"/>
    <w:rPr>
      <w:rFonts w:ascii="宋体" w:hAnsi="宋体" w:eastAsia="宋体" w:cs="宋体"/>
      <w:color w:val="242424"/>
      <w:sz w:val="32"/>
      <w:szCs w:val="32"/>
      <w:lang w:val="zh-TW" w:eastAsia="zh-TW" w:bidi="zh-TW"/>
    </w:rPr>
  </w:style>
  <w:style w:type="paragraph" w:customStyle="1" w:styleId="66">
    <w:name w:val="Other|1"/>
    <w:basedOn w:val="1"/>
    <w:link w:val="65"/>
    <w:qFormat/>
    <w:uiPriority w:val="0"/>
    <w:pPr>
      <w:spacing w:line="401" w:lineRule="auto"/>
      <w:ind w:firstLine="400" w:firstLineChars="0"/>
      <w:jc w:val="left"/>
    </w:pPr>
    <w:rPr>
      <w:rFonts w:ascii="宋体" w:hAnsi="宋体" w:eastAsia="宋体" w:cs="宋体"/>
      <w:color w:val="242424"/>
      <w:szCs w:val="32"/>
      <w:lang w:val="zh-TW" w:eastAsia="zh-TW" w:bidi="zh-TW"/>
    </w:rPr>
  </w:style>
  <w:style w:type="character" w:customStyle="1" w:styleId="67">
    <w:name w:val="Body text|1_"/>
    <w:basedOn w:val="24"/>
    <w:link w:val="68"/>
    <w:qFormat/>
    <w:uiPriority w:val="0"/>
    <w:rPr>
      <w:rFonts w:ascii="宋体" w:hAnsi="宋体" w:eastAsia="宋体" w:cs="宋体"/>
      <w:color w:val="242424"/>
      <w:sz w:val="32"/>
      <w:szCs w:val="32"/>
      <w:lang w:val="zh-TW" w:eastAsia="zh-TW" w:bidi="zh-TW"/>
    </w:rPr>
  </w:style>
  <w:style w:type="paragraph" w:customStyle="1" w:styleId="68">
    <w:name w:val="Body text|1"/>
    <w:basedOn w:val="1"/>
    <w:link w:val="67"/>
    <w:qFormat/>
    <w:uiPriority w:val="0"/>
    <w:pPr>
      <w:spacing w:line="401" w:lineRule="auto"/>
      <w:ind w:firstLine="400" w:firstLineChars="0"/>
      <w:jc w:val="left"/>
    </w:pPr>
    <w:rPr>
      <w:rFonts w:ascii="宋体" w:hAnsi="宋体" w:eastAsia="宋体" w:cs="宋体"/>
      <w:color w:val="242424"/>
      <w:szCs w:val="32"/>
      <w:lang w:val="zh-TW" w:eastAsia="zh-TW" w:bidi="zh-TW"/>
    </w:rPr>
  </w:style>
  <w:style w:type="character" w:customStyle="1" w:styleId="69">
    <w:name w:val="Heading #3|1_"/>
    <w:basedOn w:val="24"/>
    <w:link w:val="70"/>
    <w:qFormat/>
    <w:uiPriority w:val="0"/>
    <w:rPr>
      <w:rFonts w:ascii="宋体" w:hAnsi="宋体" w:eastAsia="宋体" w:cs="宋体"/>
      <w:b/>
      <w:bCs/>
      <w:color w:val="242424"/>
      <w:sz w:val="32"/>
      <w:szCs w:val="32"/>
      <w:lang w:val="zh-TW" w:eastAsia="zh-TW" w:bidi="zh-TW"/>
    </w:rPr>
  </w:style>
  <w:style w:type="paragraph" w:customStyle="1" w:styleId="70">
    <w:name w:val="Heading #3|1"/>
    <w:basedOn w:val="1"/>
    <w:link w:val="69"/>
    <w:qFormat/>
    <w:uiPriority w:val="0"/>
    <w:pPr>
      <w:spacing w:after="160" w:line="612" w:lineRule="exact"/>
      <w:ind w:firstLine="0" w:firstLineChars="0"/>
      <w:jc w:val="center"/>
      <w:outlineLvl w:val="2"/>
    </w:pPr>
    <w:rPr>
      <w:rFonts w:ascii="宋体" w:hAnsi="宋体" w:eastAsia="宋体" w:cs="宋体"/>
      <w:b/>
      <w:bCs/>
      <w:color w:val="242424"/>
      <w:szCs w:val="32"/>
      <w:lang w:val="zh-TW" w:eastAsia="zh-TW" w:bidi="zh-TW"/>
    </w:rPr>
  </w:style>
  <w:style w:type="character" w:customStyle="1" w:styleId="71">
    <w:name w:val="Table caption|1_"/>
    <w:basedOn w:val="24"/>
    <w:link w:val="72"/>
    <w:qFormat/>
    <w:uiPriority w:val="0"/>
    <w:rPr>
      <w:rFonts w:ascii="宋体" w:hAnsi="宋体" w:eastAsia="宋体" w:cs="宋体"/>
      <w:b/>
      <w:bCs/>
      <w:sz w:val="32"/>
      <w:szCs w:val="32"/>
      <w:lang w:val="zh-TW" w:eastAsia="zh-TW" w:bidi="zh-TW"/>
    </w:rPr>
  </w:style>
  <w:style w:type="paragraph" w:customStyle="1" w:styleId="72">
    <w:name w:val="Table caption|1"/>
    <w:basedOn w:val="1"/>
    <w:link w:val="71"/>
    <w:qFormat/>
    <w:uiPriority w:val="0"/>
    <w:pPr>
      <w:ind w:firstLine="0" w:firstLineChars="0"/>
      <w:jc w:val="left"/>
    </w:pPr>
    <w:rPr>
      <w:rFonts w:ascii="宋体" w:hAnsi="宋体" w:eastAsia="宋体" w:cs="宋体"/>
      <w:b/>
      <w:bCs/>
      <w:szCs w:val="32"/>
      <w:lang w:val="zh-TW" w:eastAsia="zh-TW" w:bidi="zh-TW"/>
    </w:rPr>
  </w:style>
  <w:style w:type="table" w:customStyle="1" w:styleId="73">
    <w:name w:val="网格型6"/>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4">
    <w:name w:val="1"/>
    <w:basedOn w:val="1"/>
    <w:next w:val="8"/>
    <w:qFormat/>
    <w:uiPriority w:val="0"/>
    <w:pPr>
      <w:ind w:firstLine="420"/>
    </w:pPr>
    <w:rPr>
      <w:rFonts w:eastAsia="宋体"/>
      <w:sz w:val="21"/>
      <w:szCs w:val="20"/>
    </w:rPr>
  </w:style>
  <w:style w:type="character" w:customStyle="1" w:styleId="75">
    <w:name w:val="标题 2 字符"/>
    <w:basedOn w:val="24"/>
    <w:qFormat/>
    <w:uiPriority w:val="0"/>
    <w:rPr>
      <w:rFonts w:ascii="Cambria" w:hAnsi="Cambria" w:eastAsia="仿宋_GB2312" w:cs="Times New Roman"/>
      <w:b/>
      <w:sz w:val="32"/>
      <w:szCs w:val="32"/>
    </w:rPr>
  </w:style>
  <w:style w:type="character" w:customStyle="1" w:styleId="76">
    <w:name w:val="标题 3 字符"/>
    <w:basedOn w:val="24"/>
    <w:qFormat/>
    <w:uiPriority w:val="0"/>
    <w:rPr>
      <w:rFonts w:hint="eastAsia" w:ascii="仿宋_GB2312" w:eastAsia="仿宋_GB2312" w:cs="仿宋_GB2312"/>
      <w:bCs/>
      <w:sz w:val="32"/>
      <w:szCs w:val="32"/>
    </w:rPr>
  </w:style>
  <w:style w:type="paragraph" w:customStyle="1" w:styleId="77">
    <w:name w:val="msolistparagraph"/>
    <w:basedOn w:val="1"/>
    <w:qFormat/>
    <w:uiPriority w:val="0"/>
    <w:pPr>
      <w:spacing w:line="560" w:lineRule="exact"/>
    </w:pPr>
    <w:rPr>
      <w:rFonts w:ascii="Calibri" w:hAnsi="Calibri"/>
      <w:szCs w:val="22"/>
    </w:rPr>
  </w:style>
  <w:style w:type="character" w:customStyle="1" w:styleId="78">
    <w:name w:val="标题 4 字符"/>
    <w:basedOn w:val="24"/>
    <w:qFormat/>
    <w:uiPriority w:val="0"/>
    <w:rPr>
      <w:rFonts w:hint="default" w:ascii="Cambria" w:hAnsi="Cambria" w:eastAsia="仿宋" w:cs="Times New Roman"/>
      <w:bCs/>
      <w:sz w:val="28"/>
      <w:szCs w:val="28"/>
    </w:rPr>
  </w:style>
  <w:style w:type="character" w:customStyle="1" w:styleId="79">
    <w:name w:val="标题 1 字符"/>
    <w:basedOn w:val="24"/>
    <w:qFormat/>
    <w:uiPriority w:val="0"/>
    <w:rPr>
      <w:rFonts w:hint="eastAsia" w:ascii="黑体" w:hAnsi="宋体" w:eastAsia="黑体" w:cs="黑体"/>
      <w:b/>
      <w:kern w:val="44"/>
      <w:sz w:val="32"/>
      <w:szCs w:val="44"/>
    </w:rPr>
  </w:style>
  <w:style w:type="character" w:customStyle="1" w:styleId="80">
    <w:name w:val="标题 5 字符"/>
    <w:basedOn w:val="24"/>
    <w:qFormat/>
    <w:uiPriority w:val="0"/>
    <w:rPr>
      <w:rFonts w:hint="default" w:ascii="Times New Roman" w:hAnsi="Times New Roman" w:eastAsia="仿宋" w:cs="Times New Roman"/>
      <w:bCs/>
      <w:sz w:val="28"/>
      <w:szCs w:val="28"/>
    </w:rPr>
  </w:style>
  <w:style w:type="character" w:customStyle="1" w:styleId="81">
    <w:name w:val="文档结构图 字符1"/>
    <w:basedOn w:val="24"/>
    <w:qFormat/>
    <w:uiPriority w:val="0"/>
    <w:rPr>
      <w:rFonts w:hint="eastAsia" w:ascii="Microsoft YaHei UI" w:hAnsi="Times New Roman" w:eastAsia="Microsoft YaHei UI" w:cs="Times New Roman"/>
      <w:sz w:val="18"/>
      <w:szCs w:val="18"/>
    </w:rPr>
  </w:style>
  <w:style w:type="paragraph" w:customStyle="1" w:styleId="82">
    <w:name w:val="修订1"/>
    <w:hidden/>
    <w:semiHidden/>
    <w:qFormat/>
    <w:uiPriority w:val="99"/>
    <w:rPr>
      <w:rFonts w:ascii="Times New Roman" w:hAnsi="Times New Roman" w:eastAsia="仿宋_GB2312" w:cs="Times New Roman"/>
      <w:kern w:val="2"/>
      <w:sz w:val="32"/>
      <w:szCs w:val="24"/>
      <w:lang w:val="en-US" w:eastAsia="zh-CN" w:bidi="ar-SA"/>
    </w:rPr>
  </w:style>
  <w:style w:type="character" w:styleId="83">
    <w:name w:val="Placeholder Text"/>
    <w:basedOn w:val="24"/>
    <w:semiHidden/>
    <w:qFormat/>
    <w:uiPriority w:val="99"/>
    <w:rPr>
      <w:color w:val="808080"/>
    </w:rPr>
  </w:style>
  <w:style w:type="table" w:customStyle="1" w:styleId="84">
    <w:name w:val="网格型7"/>
    <w:basedOn w:val="22"/>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5">
    <w:name w:val="修订2"/>
    <w:hidden/>
    <w:semiHidden/>
    <w:qFormat/>
    <w:uiPriority w:val="99"/>
    <w:rPr>
      <w:rFonts w:ascii="Times New Roman" w:hAnsi="Times New Roman" w:eastAsia="仿宋_GB2312" w:cs="Times New Roman"/>
      <w:kern w:val="2"/>
      <w:sz w:val="32"/>
      <w:szCs w:val="24"/>
      <w:lang w:val="en-US" w:eastAsia="zh-CN" w:bidi="ar-SA"/>
    </w:rPr>
  </w:style>
  <w:style w:type="paragraph" w:customStyle="1" w:styleId="86">
    <w:name w:val="修订3"/>
    <w:hidden/>
    <w:semiHidden/>
    <w:qFormat/>
    <w:uiPriority w:val="99"/>
    <w:rPr>
      <w:rFonts w:ascii="Times New Roman" w:hAnsi="Times New Roman" w:eastAsia="仿宋_GB2312" w:cs="Times New Roman"/>
      <w:kern w:val="2"/>
      <w:sz w:val="32"/>
      <w:szCs w:val="24"/>
      <w:lang w:val="en-US" w:eastAsia="zh-CN" w:bidi="ar-SA"/>
    </w:rPr>
  </w:style>
  <w:style w:type="paragraph" w:customStyle="1" w:styleId="87">
    <w:name w:val="修订4"/>
    <w:hidden/>
    <w:semiHidden/>
    <w:qFormat/>
    <w:uiPriority w:val="99"/>
    <w:rPr>
      <w:rFonts w:ascii="Times New Roman" w:hAnsi="Times New Roman" w:eastAsia="仿宋_GB2312" w:cs="Times New Roman"/>
      <w:kern w:val="2"/>
      <w:sz w:val="32"/>
      <w:szCs w:val="24"/>
      <w:lang w:val="en-US" w:eastAsia="zh-CN" w:bidi="ar-SA"/>
    </w:rPr>
  </w:style>
  <w:style w:type="character" w:customStyle="1" w:styleId="88">
    <w:name w:val="正文文本 字符"/>
    <w:basedOn w:val="24"/>
    <w:link w:val="7"/>
    <w:semiHidden/>
    <w:qFormat/>
    <w:uiPriority w:val="99"/>
    <w:rPr>
      <w:rFonts w:ascii="Times New Roman" w:hAnsi="Times New Roman" w:eastAsia="仿宋_GB2312"/>
      <w:kern w:val="2"/>
      <w:sz w:val="32"/>
      <w:szCs w:val="24"/>
    </w:rPr>
  </w:style>
  <w:style w:type="paragraph" w:customStyle="1" w:styleId="89">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2AF14-0A2B-4810-B837-71DB82B8BC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1996</Words>
  <Characters>11380</Characters>
  <Lines>94</Lines>
  <Paragraphs>26</Paragraphs>
  <TotalTime>4</TotalTime>
  <ScaleCrop>false</ScaleCrop>
  <LinksUpToDate>false</LinksUpToDate>
  <CharactersWithSpaces>13350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2022-03-10T03:44:00Z</dcterms:created>
  <dc:creator>HFQ</dc:creator>
  <cp:lastModifiedBy>LNJT</cp:lastModifiedBy>
  <cp:lastPrinted>2024-05-10T02:38:00Z</cp:lastPrinted>
  <dcterms:modified xsi:type="dcterms:W3CDTF">2024-05-17T00:41:59Z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8C6773D8881040209EC0132E239FDD79</vt:lpwstr>
  </property>
</Properties>
</file>